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FB3E0" w14:textId="5BB93742" w:rsidR="00B3710F" w:rsidRPr="00EB668D" w:rsidRDefault="00E9728C" w:rsidP="000164C5">
      <w:pPr>
        <w:jc w:val="center"/>
        <w:rPr>
          <w:rFonts w:ascii="黑体" w:eastAsia="黑体" w:hAnsi="黑体"/>
          <w:b/>
          <w:bCs/>
          <w:sz w:val="28"/>
          <w:szCs w:val="32"/>
        </w:rPr>
      </w:pPr>
      <w:r w:rsidRPr="00B1567A">
        <w:rPr>
          <w:rFonts w:ascii="黑体" w:eastAsia="黑体" w:hAnsi="黑体" w:hint="eastAsia"/>
          <w:b/>
          <w:bCs/>
          <w:sz w:val="28"/>
          <w:szCs w:val="32"/>
        </w:rPr>
        <w:t>关于《研发背景高管权力与公司创新》</w:t>
      </w:r>
      <w:r w:rsidR="00B3710F" w:rsidRPr="00EB668D">
        <w:rPr>
          <w:rFonts w:ascii="黑体" w:eastAsia="黑体" w:hAnsi="黑体" w:hint="eastAsia"/>
          <w:b/>
          <w:bCs/>
          <w:sz w:val="28"/>
          <w:szCs w:val="32"/>
        </w:rPr>
        <w:t>撰写</w:t>
      </w:r>
      <w:r>
        <w:rPr>
          <w:rFonts w:ascii="黑体" w:eastAsia="黑体" w:hAnsi="黑体" w:hint="eastAsia"/>
          <w:b/>
          <w:bCs/>
          <w:sz w:val="28"/>
          <w:szCs w:val="32"/>
        </w:rPr>
        <w:t>方面的</w:t>
      </w:r>
      <w:r w:rsidR="00B3710F" w:rsidRPr="00EB668D">
        <w:rPr>
          <w:rFonts w:ascii="黑体" w:eastAsia="黑体" w:hAnsi="黑体" w:hint="eastAsia"/>
          <w:b/>
          <w:bCs/>
          <w:sz w:val="28"/>
          <w:szCs w:val="32"/>
        </w:rPr>
        <w:t>总结</w:t>
      </w:r>
    </w:p>
    <w:p w14:paraId="2FF8143B" w14:textId="67810E77" w:rsidR="00B3710F" w:rsidRPr="00EB668D" w:rsidRDefault="00B3710F" w:rsidP="00B3710F">
      <w:pPr>
        <w:rPr>
          <w:b/>
          <w:bCs/>
        </w:rPr>
      </w:pPr>
      <w:r w:rsidRPr="00EB668D">
        <w:rPr>
          <w:rFonts w:hint="eastAsia"/>
          <w:b/>
          <w:bCs/>
        </w:rPr>
        <w:t>一、针对原文的更新</w:t>
      </w:r>
      <w:r w:rsidR="00B2192A" w:rsidRPr="00EB668D">
        <w:rPr>
          <w:rFonts w:hint="eastAsia"/>
          <w:b/>
          <w:bCs/>
        </w:rPr>
        <w:t>与未更新</w:t>
      </w:r>
      <w:r w:rsidRPr="00EB668D">
        <w:rPr>
          <w:rFonts w:hint="eastAsia"/>
          <w:b/>
          <w:bCs/>
        </w:rPr>
        <w:t>情况</w:t>
      </w:r>
    </w:p>
    <w:p w14:paraId="3FAAAF10" w14:textId="18D85BBE" w:rsidR="00B3710F" w:rsidRDefault="00B3710F" w:rsidP="00B3710F">
      <w:r>
        <w:rPr>
          <w:rFonts w:hint="eastAsia"/>
        </w:rPr>
        <w:t>（一）增加被解释变量I</w:t>
      </w:r>
      <w:r>
        <w:t>E</w:t>
      </w:r>
      <w:r w:rsidR="00E9728C">
        <w:rPr>
          <w:rFonts w:hint="eastAsia"/>
        </w:rPr>
        <w:t>（I</w:t>
      </w:r>
      <w:r w:rsidR="00E9728C">
        <w:t>nnovation E</w:t>
      </w:r>
      <w:r w:rsidR="00E9728C" w:rsidRPr="00E9728C">
        <w:t>fficiency</w:t>
      </w:r>
      <w:r w:rsidR="00E9728C">
        <w:rPr>
          <w:rFonts w:hint="eastAsia"/>
        </w:rPr>
        <w:t>）</w:t>
      </w:r>
    </w:p>
    <w:p w14:paraId="750FDE98" w14:textId="50679B17" w:rsidR="00B3710F" w:rsidRDefault="00B3710F" w:rsidP="00EB668D">
      <w:pPr>
        <w:ind w:firstLineChars="200" w:firstLine="420"/>
      </w:pPr>
      <w:r>
        <w:rPr>
          <w:rFonts w:hint="eastAsia"/>
        </w:rPr>
        <w:t>该被解释变量是用原文的创新产出I</w:t>
      </w:r>
      <w:r>
        <w:t>O</w:t>
      </w:r>
      <w:r>
        <w:rPr>
          <w:rFonts w:hint="eastAsia"/>
        </w:rPr>
        <w:t>与创新投入I</w:t>
      </w:r>
      <w:r>
        <w:t>I</w:t>
      </w:r>
      <w:r>
        <w:rPr>
          <w:rFonts w:hint="eastAsia"/>
        </w:rPr>
        <w:t>的比值得到，包括后面的稳健性检验部分用新的衡量方法得到新的I</w:t>
      </w:r>
      <w:r>
        <w:t>I2</w:t>
      </w:r>
      <w:r>
        <w:rPr>
          <w:rFonts w:hint="eastAsia"/>
        </w:rPr>
        <w:t>与I</w:t>
      </w:r>
      <w:r>
        <w:t>O2</w:t>
      </w:r>
      <w:r>
        <w:rPr>
          <w:rFonts w:hint="eastAsia"/>
        </w:rPr>
        <w:t>，也通过I</w:t>
      </w:r>
      <w:r>
        <w:t>O2/II2</w:t>
      </w:r>
      <w:r>
        <w:rPr>
          <w:rFonts w:hint="eastAsia"/>
        </w:rPr>
        <w:t>得到了新的I</w:t>
      </w:r>
      <w:r>
        <w:t>E2</w:t>
      </w:r>
      <w:r>
        <w:rPr>
          <w:rFonts w:hint="eastAsia"/>
        </w:rPr>
        <w:t>。该指标的增加来源于</w:t>
      </w:r>
      <w:r w:rsidR="003556F7" w:rsidRPr="003556F7">
        <w:rPr>
          <w:rFonts w:hint="eastAsia"/>
        </w:rPr>
        <w:t>陈银</w:t>
      </w:r>
      <w:r w:rsidR="003556F7">
        <w:rPr>
          <w:rFonts w:hint="eastAsia"/>
        </w:rPr>
        <w:t>同学提出的建议</w:t>
      </w:r>
      <w:r w:rsidR="003556F7" w:rsidRPr="003556F7">
        <w:rPr>
          <w:rFonts w:hint="eastAsia"/>
        </w:rPr>
        <w:t>：创新效率指标也可以用来衡量企业的创新活力，即创新产出与创新投入的比值</w:t>
      </w:r>
      <w:r w:rsidR="003556F7">
        <w:rPr>
          <w:rFonts w:hint="eastAsia"/>
        </w:rPr>
        <w:t>。因此这是本文最大的一个更新之处，并且由于这是被解释变量，基本上全文所有的表格都增加了针对I</w:t>
      </w:r>
      <w:r w:rsidR="003556F7">
        <w:t>E</w:t>
      </w:r>
      <w:r w:rsidR="003556F7">
        <w:rPr>
          <w:rFonts w:hint="eastAsia"/>
        </w:rPr>
        <w:t>的实证分析。</w:t>
      </w:r>
    </w:p>
    <w:p w14:paraId="7EBC2C52" w14:textId="1326155B" w:rsidR="003556F7" w:rsidRDefault="003556F7" w:rsidP="00B3710F">
      <w:r>
        <w:rPr>
          <w:rFonts w:hint="eastAsia"/>
        </w:rPr>
        <w:t>（二）针对国企与非国企做了异质性分析</w:t>
      </w:r>
    </w:p>
    <w:p w14:paraId="370E040C" w14:textId="6434529E" w:rsidR="003556F7" w:rsidRDefault="003556F7" w:rsidP="00EB668D">
      <w:pPr>
        <w:ind w:firstLineChars="200" w:firstLine="420"/>
      </w:pPr>
      <w:r>
        <w:rPr>
          <w:rFonts w:hint="eastAsia"/>
        </w:rPr>
        <w:t>原文的异质性分析只分了高新技术企业与非高新技术企业，角度较为单一，而在讨论中</w:t>
      </w:r>
      <w:r w:rsidRPr="003556F7">
        <w:rPr>
          <w:rFonts w:hint="eastAsia"/>
        </w:rPr>
        <w:t>尹静欣</w:t>
      </w:r>
      <w:r>
        <w:rPr>
          <w:rFonts w:hint="eastAsia"/>
        </w:rPr>
        <w:t>同学与</w:t>
      </w:r>
      <w:r w:rsidRPr="003556F7">
        <w:rPr>
          <w:rFonts w:hint="eastAsia"/>
        </w:rPr>
        <w:t>房珊珊</w:t>
      </w:r>
      <w:r>
        <w:rPr>
          <w:rFonts w:hint="eastAsia"/>
        </w:rPr>
        <w:t>同学提出了</w:t>
      </w:r>
      <w:r w:rsidRPr="003556F7">
        <w:rPr>
          <w:rFonts w:hint="eastAsia"/>
        </w:rPr>
        <w:t>异质性分析</w:t>
      </w:r>
      <w:r>
        <w:rPr>
          <w:rFonts w:hint="eastAsia"/>
        </w:rPr>
        <w:t>还可以</w:t>
      </w:r>
      <w:r w:rsidRPr="003556F7">
        <w:rPr>
          <w:rFonts w:hint="eastAsia"/>
        </w:rPr>
        <w:t>分为国有企业和</w:t>
      </w:r>
      <w:r>
        <w:rPr>
          <w:rFonts w:hint="eastAsia"/>
        </w:rPr>
        <w:t>非国有</w:t>
      </w:r>
      <w:r w:rsidRPr="003556F7">
        <w:rPr>
          <w:rFonts w:hint="eastAsia"/>
        </w:rPr>
        <w:t>企业</w:t>
      </w:r>
      <w:r>
        <w:rPr>
          <w:rFonts w:hint="eastAsia"/>
        </w:rPr>
        <w:t>，这是我将其纳入更新的最重要</w:t>
      </w:r>
      <w:r w:rsidR="00071307">
        <w:rPr>
          <w:rFonts w:hint="eastAsia"/>
        </w:rPr>
        <w:t>原因</w:t>
      </w:r>
      <w:r>
        <w:rPr>
          <w:rFonts w:hint="eastAsia"/>
        </w:rPr>
        <w:t>。第二个原因是原文在最后的政策建议部分提到了针对国有企业要进行管理层权力配置等</w:t>
      </w:r>
      <w:r w:rsidR="00071307">
        <w:rPr>
          <w:rFonts w:hint="eastAsia"/>
        </w:rPr>
        <w:t>，但是前面并没有针对国有企业进行实证分析，这个建议难免与前文脱节，所以增加该异质性分析是必要的，且最后也得到了具有显著性的实证结果。</w:t>
      </w:r>
    </w:p>
    <w:p w14:paraId="465266F7" w14:textId="71048E1B" w:rsidR="00071307" w:rsidRDefault="00071307" w:rsidP="00B3710F">
      <w:r>
        <w:rPr>
          <w:rFonts w:hint="eastAsia"/>
        </w:rPr>
        <w:t>（三）数据未更新年份</w:t>
      </w:r>
    </w:p>
    <w:p w14:paraId="56CCA528" w14:textId="2C3E58C5" w:rsidR="00071307" w:rsidRDefault="00071307" w:rsidP="00EB668D">
      <w:pPr>
        <w:ind w:firstLineChars="200" w:firstLine="420"/>
        <w:rPr>
          <w:rFonts w:hint="eastAsia"/>
        </w:rPr>
      </w:pPr>
      <w:r>
        <w:rPr>
          <w:rFonts w:hint="eastAsia"/>
        </w:rPr>
        <w:t>由于原文的关键被解释变量——</w:t>
      </w:r>
      <w:r w:rsidRPr="00071307">
        <w:rPr>
          <w:rFonts w:hint="eastAsia"/>
        </w:rPr>
        <w:t>公司专利情况主要来源于国泰安数据库中的上市公司及子公司专利子数据库，</w:t>
      </w:r>
      <w:r w:rsidR="00244741">
        <w:rPr>
          <w:rFonts w:hint="eastAsia"/>
        </w:rPr>
        <w:t>原作者在写作时发现</w:t>
      </w:r>
      <w:r w:rsidRPr="00071307">
        <w:rPr>
          <w:rFonts w:hint="eastAsia"/>
        </w:rPr>
        <w:t>该子数据库数据仅更新到</w:t>
      </w:r>
      <w:r w:rsidRPr="00071307">
        <w:t>2017年，其他数据来源与国泰安数据库的口径不尽相同，因此，为了保证研究数据的一贯性，同时考虑到2006年中华人民共和国财政部对《企业会计准则》进行了修订可能造成的影响，</w:t>
      </w:r>
      <w:r>
        <w:rPr>
          <w:rFonts w:hint="eastAsia"/>
        </w:rPr>
        <w:t>原</w:t>
      </w:r>
      <w:r w:rsidRPr="00071307">
        <w:t>文将样本期间选定为2007—2017年。</w:t>
      </w:r>
      <w:r>
        <w:rPr>
          <w:rFonts w:hint="eastAsia"/>
        </w:rPr>
        <w:t>我在6月中旬</w:t>
      </w:r>
      <w:proofErr w:type="gramStart"/>
      <w:r>
        <w:rPr>
          <w:rFonts w:hint="eastAsia"/>
        </w:rPr>
        <w:t>登上国泰安</w:t>
      </w:r>
      <w:proofErr w:type="gramEnd"/>
      <w:r>
        <w:rPr>
          <w:rFonts w:hint="eastAsia"/>
        </w:rPr>
        <w:t>数据库</w:t>
      </w:r>
      <w:r w:rsidR="000164C5">
        <w:rPr>
          <w:rFonts w:hint="eastAsia"/>
        </w:rPr>
        <w:t>的网站</w:t>
      </w:r>
      <w:r>
        <w:rPr>
          <w:rFonts w:hint="eastAsia"/>
        </w:rPr>
        <w:t>查看以后发现数据还是只截止到2</w:t>
      </w:r>
      <w:r>
        <w:t>017</w:t>
      </w:r>
      <w:r>
        <w:rPr>
          <w:rFonts w:hint="eastAsia"/>
        </w:rPr>
        <w:t>年1</w:t>
      </w:r>
      <w:r>
        <w:t>2</w:t>
      </w:r>
      <w:r>
        <w:rPr>
          <w:rFonts w:hint="eastAsia"/>
        </w:rPr>
        <w:t>月3</w:t>
      </w:r>
      <w:r>
        <w:t>1</w:t>
      </w:r>
      <w:r>
        <w:rPr>
          <w:rFonts w:hint="eastAsia"/>
        </w:rPr>
        <w:t>日，且其他数据库在口径方面大不相同，因此，未能在年份方面做出更新</w:t>
      </w:r>
      <w:r w:rsidR="00B2192A">
        <w:rPr>
          <w:rFonts w:hint="eastAsia"/>
        </w:rPr>
        <w:t>，这是遗憾的一点。</w:t>
      </w:r>
    </w:p>
    <w:p w14:paraId="1F23FB63" w14:textId="4733FD6A" w:rsidR="00C134A1" w:rsidRDefault="00F91302">
      <w:r>
        <w:rPr>
          <w:noProof/>
        </w:rPr>
        <w:drawing>
          <wp:inline distT="0" distB="0" distL="0" distR="0" wp14:anchorId="4DDF88AD" wp14:editId="36CF7401">
            <wp:extent cx="5270500" cy="22269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0500" cy="2226945"/>
                    </a:xfrm>
                    <a:prstGeom prst="rect">
                      <a:avLst/>
                    </a:prstGeom>
                    <a:noFill/>
                    <a:ln>
                      <a:noFill/>
                    </a:ln>
                  </pic:spPr>
                </pic:pic>
              </a:graphicData>
            </a:graphic>
          </wp:inline>
        </w:drawing>
      </w:r>
    </w:p>
    <w:p w14:paraId="308D94F0" w14:textId="3EFFFD05" w:rsidR="000164C5" w:rsidRPr="00EB668D" w:rsidRDefault="000164C5">
      <w:pPr>
        <w:rPr>
          <w:b/>
          <w:bCs/>
        </w:rPr>
      </w:pPr>
      <w:r w:rsidRPr="00EB668D">
        <w:rPr>
          <w:rFonts w:hint="eastAsia"/>
          <w:b/>
          <w:bCs/>
        </w:rPr>
        <w:t>二、原文实现与未实现情况</w:t>
      </w:r>
    </w:p>
    <w:p w14:paraId="7D9A72FE" w14:textId="3606448B" w:rsidR="000164C5" w:rsidRDefault="000164C5" w:rsidP="00EB668D">
      <w:pPr>
        <w:ind w:firstLineChars="200" w:firstLine="420"/>
        <w:rPr>
          <w:rFonts w:hint="eastAsia"/>
        </w:rPr>
      </w:pPr>
      <w:r>
        <w:rPr>
          <w:rFonts w:hint="eastAsia"/>
        </w:rPr>
        <w:t>原文的实证大致分为①描述性统计与相关性分析②基准实证③异质性检验④七个稳健性检验⑤进一步分析。其中，①②⑤都在有所更新的基础上复现，③添加了国企与非国企的异质性分析，</w:t>
      </w:r>
      <w:r w:rsidR="00244741">
        <w:rPr>
          <w:rFonts w:hint="eastAsia"/>
        </w:rPr>
        <w:t>但</w:t>
      </w:r>
      <w:r>
        <w:rPr>
          <w:rFonts w:hint="eastAsia"/>
        </w:rPr>
        <w:t>④的七个稳健性检验中只复现了五个，其中没有复现成功的是</w:t>
      </w:r>
      <w:r w:rsidR="00244741">
        <w:rPr>
          <w:rFonts w:hint="eastAsia"/>
        </w:rPr>
        <w:t>用其他四种方法衡量p</w:t>
      </w:r>
      <w:r w:rsidR="00244741">
        <w:t>ower</w:t>
      </w:r>
      <w:r w:rsidR="00244741">
        <w:rPr>
          <w:rFonts w:hint="eastAsia"/>
        </w:rPr>
        <w:t>；增加</w:t>
      </w:r>
      <w:r w:rsidR="00244741">
        <w:rPr>
          <w:rFonts w:hint="eastAsia"/>
        </w:rPr>
        <w:t>高管团队职能背景异质性</w:t>
      </w:r>
      <w:r w:rsidR="00244741">
        <w:t>、考虑现金红利再投资的年个股回报率和董事会规</w:t>
      </w:r>
      <w:r w:rsidR="00244741">
        <w:rPr>
          <w:rFonts w:hint="eastAsia"/>
        </w:rPr>
        <w:t>模</w:t>
      </w:r>
      <w:r w:rsidR="00244741">
        <w:t>3个解释变量</w:t>
      </w:r>
      <w:r w:rsidR="00244741">
        <w:rPr>
          <w:rFonts w:hint="eastAsia"/>
        </w:rPr>
        <w:t>。原因是数据来源不明晰，数据没有找到。</w:t>
      </w:r>
      <w:r w:rsidR="00C34918">
        <w:rPr>
          <w:rFonts w:hint="eastAsia"/>
        </w:rPr>
        <w:t>除了这两个稳健性检验，其他的实证都实现了。</w:t>
      </w:r>
    </w:p>
    <w:sectPr w:rsidR="000164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51134"/>
    <w:multiLevelType w:val="hybridMultilevel"/>
    <w:tmpl w:val="88E2F1D6"/>
    <w:lvl w:ilvl="0" w:tplc="5F049AE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76330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D2"/>
    <w:rsid w:val="000164C5"/>
    <w:rsid w:val="00071307"/>
    <w:rsid w:val="00244741"/>
    <w:rsid w:val="003556F7"/>
    <w:rsid w:val="00522CD2"/>
    <w:rsid w:val="00B2192A"/>
    <w:rsid w:val="00B3710F"/>
    <w:rsid w:val="00C134A1"/>
    <w:rsid w:val="00C34918"/>
    <w:rsid w:val="00E9728C"/>
    <w:rsid w:val="00EB668D"/>
    <w:rsid w:val="00F6349C"/>
    <w:rsid w:val="00F91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BE06"/>
  <w15:chartTrackingRefBased/>
  <w15:docId w15:val="{5BB6EC5B-A7F8-4B21-AC28-0756085F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710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1633489098@qq.com</dc:creator>
  <cp:keywords/>
  <dc:description/>
  <cp:lastModifiedBy>1633489098@qq.com</cp:lastModifiedBy>
  <cp:revision>8</cp:revision>
  <dcterms:created xsi:type="dcterms:W3CDTF">2022-04-29T07:36:00Z</dcterms:created>
  <dcterms:modified xsi:type="dcterms:W3CDTF">2022-06-18T05:38:00Z</dcterms:modified>
</cp:coreProperties>
</file>