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25F6F" w14:textId="643A0062" w:rsidR="00C5202D" w:rsidRPr="00C5202D" w:rsidRDefault="00C5202D" w:rsidP="00F806CF">
      <w:pPr>
        <w:spacing w:line="360" w:lineRule="auto"/>
        <w:jc w:val="center"/>
        <w:rPr>
          <w:rFonts w:ascii="黑体" w:eastAsia="黑体" w:hAnsi="黑体"/>
          <w:sz w:val="36"/>
          <w:szCs w:val="36"/>
        </w:rPr>
      </w:pPr>
      <w:r w:rsidRPr="00C5202D">
        <w:rPr>
          <w:rFonts w:ascii="黑体" w:eastAsia="黑体" w:hAnsi="黑体" w:hint="eastAsia"/>
          <w:sz w:val="36"/>
          <w:szCs w:val="36"/>
        </w:rPr>
        <w:t>总结</w:t>
      </w:r>
    </w:p>
    <w:p w14:paraId="77EDB795" w14:textId="77777777" w:rsidR="00C5202D" w:rsidRPr="00C5202D" w:rsidRDefault="00C5202D" w:rsidP="00F806CF">
      <w:pPr>
        <w:spacing w:line="360" w:lineRule="auto"/>
        <w:jc w:val="center"/>
        <w:rPr>
          <w:rFonts w:ascii="宋体" w:eastAsia="宋体" w:hAnsi="宋体"/>
          <w:sz w:val="24"/>
          <w:szCs w:val="24"/>
        </w:rPr>
      </w:pPr>
      <w:r w:rsidRPr="00C5202D">
        <w:rPr>
          <w:rFonts w:ascii="宋体" w:eastAsia="宋体" w:hAnsi="宋体" w:hint="eastAsia"/>
          <w:sz w:val="24"/>
          <w:szCs w:val="24"/>
        </w:rPr>
        <w:t>姓名：徐梓耀</w:t>
      </w:r>
    </w:p>
    <w:p w14:paraId="202D9E59" w14:textId="75A8CF1A" w:rsidR="00C5202D" w:rsidRDefault="00C5202D" w:rsidP="00F806CF">
      <w:pPr>
        <w:spacing w:line="360" w:lineRule="auto"/>
        <w:jc w:val="center"/>
        <w:rPr>
          <w:rFonts w:ascii="宋体" w:eastAsia="宋体" w:hAnsi="宋体"/>
          <w:sz w:val="24"/>
          <w:szCs w:val="24"/>
        </w:rPr>
      </w:pPr>
      <w:r w:rsidRPr="00C5202D">
        <w:rPr>
          <w:rFonts w:ascii="宋体" w:eastAsia="宋体" w:hAnsi="宋体" w:hint="eastAsia"/>
          <w:sz w:val="24"/>
          <w:szCs w:val="24"/>
        </w:rPr>
        <w:t>学号：</w:t>
      </w:r>
      <w:r w:rsidRPr="00C5202D">
        <w:rPr>
          <w:rFonts w:ascii="宋体" w:eastAsia="宋体" w:hAnsi="宋体"/>
          <w:sz w:val="24"/>
          <w:szCs w:val="24"/>
        </w:rPr>
        <w:t>20204510004</w:t>
      </w:r>
    </w:p>
    <w:p w14:paraId="3CF51B97" w14:textId="495953C3" w:rsidR="003031D2" w:rsidRDefault="00661DA3" w:rsidP="00294161">
      <w:pPr>
        <w:spacing w:line="360" w:lineRule="auto"/>
        <w:ind w:firstLineChars="200" w:firstLine="480"/>
        <w:rPr>
          <w:rFonts w:ascii="宋体" w:eastAsia="宋体" w:hAnsi="宋体"/>
          <w:sz w:val="24"/>
          <w:szCs w:val="24"/>
        </w:rPr>
      </w:pPr>
      <w:r>
        <w:rPr>
          <w:rFonts w:ascii="宋体" w:eastAsia="宋体" w:hAnsi="宋体" w:hint="eastAsia"/>
          <w:sz w:val="24"/>
          <w:szCs w:val="24"/>
        </w:rPr>
        <w:t>原文</w:t>
      </w:r>
      <w:r w:rsidR="001A2627" w:rsidRPr="001A2627">
        <w:rPr>
          <w:rFonts w:ascii="宋体" w:eastAsia="宋体" w:hAnsi="宋体" w:hint="eastAsia"/>
          <w:sz w:val="24"/>
          <w:szCs w:val="24"/>
        </w:rPr>
        <w:t>探讨了数字普惠金融对商业信用二次配置的影响及其作用机制，研究发现：数字普惠金融有助于降低商业信用二次配置，</w:t>
      </w:r>
      <w:r w:rsidR="001A2627" w:rsidRPr="001A2627">
        <w:rPr>
          <w:rFonts w:ascii="宋体" w:eastAsia="宋体" w:hAnsi="宋体"/>
          <w:sz w:val="24"/>
          <w:szCs w:val="24"/>
        </w:rPr>
        <w:t>有效减少了企业利用商业信用把长期借款资金进行二</w:t>
      </w:r>
      <w:r w:rsidR="001A2627" w:rsidRPr="001A2627">
        <w:rPr>
          <w:rFonts w:ascii="宋体" w:eastAsia="宋体" w:hAnsi="宋体" w:hint="eastAsia"/>
          <w:sz w:val="24"/>
          <w:szCs w:val="24"/>
        </w:rPr>
        <w:t>次配置的行为，而且该抑制作用对于外部融资能力较强的企业更加明显。</w:t>
      </w:r>
      <w:r w:rsidR="001A2627">
        <w:rPr>
          <w:rFonts w:ascii="宋体" w:eastAsia="宋体" w:hAnsi="宋体" w:hint="eastAsia"/>
          <w:sz w:val="24"/>
          <w:szCs w:val="24"/>
        </w:rPr>
        <w:t>并且</w:t>
      </w:r>
      <w:r w:rsidR="00037925">
        <w:rPr>
          <w:rFonts w:ascii="宋体" w:eastAsia="宋体" w:hAnsi="宋体" w:hint="eastAsia"/>
          <w:sz w:val="24"/>
          <w:szCs w:val="24"/>
        </w:rPr>
        <w:t>原文</w:t>
      </w:r>
      <w:r w:rsidR="001A2627">
        <w:rPr>
          <w:rFonts w:ascii="宋体" w:eastAsia="宋体" w:hAnsi="宋体" w:hint="eastAsia"/>
          <w:sz w:val="24"/>
          <w:szCs w:val="24"/>
        </w:rPr>
        <w:t>成功进行了</w:t>
      </w:r>
      <w:r w:rsidR="001A2627" w:rsidRPr="001A2627">
        <w:rPr>
          <w:rFonts w:ascii="宋体" w:eastAsia="宋体" w:hAnsi="宋体"/>
          <w:sz w:val="24"/>
          <w:szCs w:val="24"/>
        </w:rPr>
        <w:t>机制检验</w:t>
      </w:r>
      <w:r w:rsidR="001A2627">
        <w:rPr>
          <w:rFonts w:ascii="宋体" w:eastAsia="宋体" w:hAnsi="宋体" w:hint="eastAsia"/>
          <w:sz w:val="24"/>
          <w:szCs w:val="24"/>
        </w:rPr>
        <w:t>，结果表明</w:t>
      </w:r>
      <w:r w:rsidR="001A2627" w:rsidRPr="001A2627">
        <w:rPr>
          <w:rFonts w:ascii="宋体" w:eastAsia="宋体" w:hAnsi="宋体"/>
          <w:sz w:val="24"/>
          <w:szCs w:val="24"/>
        </w:rPr>
        <w:t>，</w:t>
      </w:r>
      <w:r w:rsidR="001A2627" w:rsidRPr="001A2627">
        <w:rPr>
          <w:rFonts w:ascii="宋体" w:eastAsia="宋体" w:hAnsi="宋体" w:hint="eastAsia"/>
          <w:sz w:val="24"/>
          <w:szCs w:val="24"/>
        </w:rPr>
        <w:t>数字普惠金融通过减少上市公司超额银行信贷抑制商业信用二次配置。</w:t>
      </w:r>
      <w:r w:rsidR="001A2627" w:rsidRPr="001A2627">
        <w:rPr>
          <w:rFonts w:ascii="宋体" w:eastAsia="宋体" w:hAnsi="宋体"/>
          <w:sz w:val="24"/>
          <w:szCs w:val="24"/>
        </w:rPr>
        <w:t>进一步分析显示，</w:t>
      </w:r>
      <w:r w:rsidR="001A2627" w:rsidRPr="001A2627">
        <w:rPr>
          <w:rFonts w:ascii="宋体" w:eastAsia="宋体" w:hAnsi="宋体" w:hint="eastAsia"/>
          <w:sz w:val="24"/>
          <w:szCs w:val="24"/>
        </w:rPr>
        <w:t>在外部市场竞争程度较低、内部风险较低、现金持有水平较高以及非高科技企业中，数字普惠金融对上市公司商业信用二次配置的抑制作用更加明显；而且，数字普惠金融在降低商业信用二次配置的同时，对于促进企业创新投入具有一定的积极作用。</w:t>
      </w:r>
    </w:p>
    <w:p w14:paraId="0E88D880" w14:textId="4A649146" w:rsidR="00294161" w:rsidRDefault="00294161" w:rsidP="00294161">
      <w:pPr>
        <w:spacing w:line="360" w:lineRule="auto"/>
        <w:ind w:firstLineChars="200" w:firstLine="480"/>
        <w:rPr>
          <w:rFonts w:ascii="宋体" w:eastAsia="宋体" w:hAnsi="宋体"/>
          <w:sz w:val="24"/>
          <w:szCs w:val="24"/>
        </w:rPr>
      </w:pPr>
      <w:r>
        <w:rPr>
          <w:rFonts w:ascii="宋体" w:eastAsia="宋体" w:hAnsi="宋体" w:hint="eastAsia"/>
          <w:sz w:val="24"/>
          <w:szCs w:val="24"/>
        </w:rPr>
        <w:t>原文存在的问题有两处：一是对</w:t>
      </w:r>
      <w:r w:rsidRPr="00294161">
        <w:rPr>
          <w:rFonts w:ascii="宋体" w:eastAsia="宋体" w:hAnsi="宋体" w:hint="eastAsia"/>
          <w:sz w:val="24"/>
          <w:szCs w:val="24"/>
        </w:rPr>
        <w:t>大部分商业信用是与企业间的业务往来紧密结合的，</w:t>
      </w:r>
      <w:r>
        <w:rPr>
          <w:rFonts w:ascii="宋体" w:eastAsia="宋体" w:hAnsi="宋体" w:hint="eastAsia"/>
          <w:sz w:val="24"/>
          <w:szCs w:val="24"/>
        </w:rPr>
        <w:t>直接讲其界定为影子银行存在一定的不合理性</w:t>
      </w:r>
      <w:r w:rsidR="00540D47">
        <w:rPr>
          <w:rFonts w:ascii="宋体" w:eastAsia="宋体" w:hAnsi="宋体" w:hint="eastAsia"/>
          <w:sz w:val="24"/>
          <w:szCs w:val="24"/>
        </w:rPr>
        <w:t>（当然本文在基准回归之后用取残差项的方式获得超额商业信用指标，在一定程度上缓解了该问题）；而更新了2</w:t>
      </w:r>
      <w:r w:rsidR="00540D47">
        <w:rPr>
          <w:rFonts w:ascii="宋体" w:eastAsia="宋体" w:hAnsi="宋体"/>
          <w:sz w:val="24"/>
          <w:szCs w:val="24"/>
        </w:rPr>
        <w:t>01</w:t>
      </w:r>
      <w:r w:rsidR="000E1787">
        <w:rPr>
          <w:rFonts w:ascii="宋体" w:eastAsia="宋体" w:hAnsi="宋体"/>
          <w:sz w:val="24"/>
          <w:szCs w:val="24"/>
        </w:rPr>
        <w:t>9</w:t>
      </w:r>
      <w:r w:rsidR="00540D47">
        <w:rPr>
          <w:rFonts w:ascii="宋体" w:eastAsia="宋体" w:hAnsi="宋体" w:hint="eastAsia"/>
          <w:sz w:val="24"/>
          <w:szCs w:val="24"/>
        </w:rPr>
        <w:t>年和2</w:t>
      </w:r>
      <w:r w:rsidR="00540D47">
        <w:rPr>
          <w:rFonts w:ascii="宋体" w:eastAsia="宋体" w:hAnsi="宋体"/>
          <w:sz w:val="24"/>
          <w:szCs w:val="24"/>
        </w:rPr>
        <w:t>0</w:t>
      </w:r>
      <w:r w:rsidR="000E1787">
        <w:rPr>
          <w:rFonts w:ascii="宋体" w:eastAsia="宋体" w:hAnsi="宋体"/>
          <w:sz w:val="24"/>
          <w:szCs w:val="24"/>
        </w:rPr>
        <w:t>20</w:t>
      </w:r>
      <w:r w:rsidR="00540D47">
        <w:rPr>
          <w:rFonts w:ascii="宋体" w:eastAsia="宋体" w:hAnsi="宋体" w:hint="eastAsia"/>
          <w:sz w:val="24"/>
          <w:szCs w:val="24"/>
        </w:rPr>
        <w:t>年的数据后，在文章中一些章节的检验中，原文显著的数据不再显著了，</w:t>
      </w:r>
      <w:r w:rsidR="00683A66">
        <w:rPr>
          <w:rFonts w:ascii="宋体" w:eastAsia="宋体" w:hAnsi="宋体" w:hint="eastAsia"/>
          <w:sz w:val="24"/>
          <w:szCs w:val="24"/>
        </w:rPr>
        <w:t>在经济后果检验中甚至出现了相反的结果，</w:t>
      </w:r>
      <w:r w:rsidR="005D2C93">
        <w:rPr>
          <w:rFonts w:ascii="宋体" w:eastAsia="宋体" w:hAnsi="宋体" w:hint="eastAsia"/>
          <w:sz w:val="24"/>
          <w:szCs w:val="24"/>
        </w:rPr>
        <w:t>其结论</w:t>
      </w:r>
      <w:r w:rsidR="00540D47">
        <w:rPr>
          <w:rFonts w:ascii="宋体" w:eastAsia="宋体" w:hAnsi="宋体" w:hint="eastAsia"/>
          <w:sz w:val="24"/>
          <w:szCs w:val="24"/>
        </w:rPr>
        <w:t>缺乏一定的稳健性</w:t>
      </w:r>
      <w:r w:rsidR="00B80792">
        <w:rPr>
          <w:rFonts w:ascii="宋体" w:eastAsia="宋体" w:hAnsi="宋体" w:hint="eastAsia"/>
          <w:sz w:val="24"/>
          <w:szCs w:val="24"/>
        </w:rPr>
        <w:t>。</w:t>
      </w:r>
    </w:p>
    <w:p w14:paraId="20245CED" w14:textId="00F7CBFF" w:rsidR="002D662E" w:rsidRPr="001A2627" w:rsidRDefault="002D662E" w:rsidP="00294161">
      <w:pPr>
        <w:spacing w:line="360" w:lineRule="auto"/>
        <w:ind w:firstLineChars="200" w:firstLine="480"/>
        <w:rPr>
          <w:rFonts w:ascii="宋体" w:eastAsia="宋体" w:hAnsi="宋体"/>
          <w:sz w:val="24"/>
          <w:szCs w:val="24"/>
        </w:rPr>
      </w:pPr>
      <w:r>
        <w:rPr>
          <w:rFonts w:ascii="宋体" w:eastAsia="宋体" w:hAnsi="宋体" w:hint="eastAsia"/>
          <w:sz w:val="24"/>
          <w:szCs w:val="24"/>
        </w:rPr>
        <w:t>针对同学在“智慧树”上的讨论，本文做了如下的改动：</w:t>
      </w:r>
      <w:r w:rsidR="00490AB0">
        <w:rPr>
          <w:rFonts w:ascii="宋体" w:eastAsia="宋体" w:hAnsi="宋体" w:hint="eastAsia"/>
          <w:sz w:val="24"/>
          <w:szCs w:val="24"/>
        </w:rPr>
        <w:t>进一步解释了</w:t>
      </w:r>
      <w:r w:rsidR="00490AB0" w:rsidRPr="00490AB0">
        <w:rPr>
          <w:rFonts w:ascii="宋体" w:eastAsia="宋体" w:hAnsi="宋体" w:hint="eastAsia"/>
          <w:sz w:val="24"/>
          <w:szCs w:val="24"/>
        </w:rPr>
        <w:t>模型</w:t>
      </w:r>
      <w:r w:rsidR="00490AB0" w:rsidRPr="00490AB0">
        <w:rPr>
          <w:rFonts w:ascii="宋体" w:eastAsia="宋体" w:hAnsi="宋体"/>
          <w:sz w:val="24"/>
          <w:szCs w:val="24"/>
        </w:rPr>
        <w:t>1的控制变量与模型2选取变量不同（模型2加入了第一大股东持股比例）的原因</w:t>
      </w:r>
      <w:r w:rsidR="00546DAA">
        <w:rPr>
          <w:rFonts w:ascii="宋体" w:eastAsia="宋体" w:hAnsi="宋体" w:hint="eastAsia"/>
          <w:sz w:val="24"/>
          <w:szCs w:val="24"/>
        </w:rPr>
        <w:t>（这样处理回归结果会更显著）</w:t>
      </w:r>
      <w:r w:rsidR="00490AB0">
        <w:rPr>
          <w:rFonts w:ascii="宋体" w:eastAsia="宋体" w:hAnsi="宋体" w:hint="eastAsia"/>
          <w:sz w:val="24"/>
          <w:szCs w:val="24"/>
        </w:rPr>
        <w:t>；</w:t>
      </w:r>
      <w:r w:rsidR="00546DAA">
        <w:rPr>
          <w:rFonts w:ascii="宋体" w:eastAsia="宋体" w:hAnsi="宋体" w:hint="eastAsia"/>
          <w:sz w:val="24"/>
          <w:szCs w:val="24"/>
        </w:rPr>
        <w:t>解释了</w:t>
      </w:r>
      <w:r w:rsidR="00546DAA" w:rsidRPr="00546DAA">
        <w:rPr>
          <w:rFonts w:ascii="宋体" w:eastAsia="宋体" w:hAnsi="宋体" w:hint="eastAsia"/>
          <w:sz w:val="24"/>
          <w:szCs w:val="24"/>
        </w:rPr>
        <w:t>只考虑商业信用的供给侧而没有考虑商业信用的需求侧</w:t>
      </w:r>
      <w:r w:rsidR="00546DAA">
        <w:rPr>
          <w:rFonts w:ascii="宋体" w:eastAsia="宋体" w:hAnsi="宋体" w:hint="eastAsia"/>
          <w:sz w:val="24"/>
          <w:szCs w:val="24"/>
        </w:rPr>
        <w:t>（因为数据的可得性）</w:t>
      </w:r>
      <w:r w:rsidR="00856D4E">
        <w:rPr>
          <w:rFonts w:ascii="宋体" w:eastAsia="宋体" w:hAnsi="宋体" w:hint="eastAsia"/>
          <w:sz w:val="24"/>
          <w:szCs w:val="24"/>
        </w:rPr>
        <w:t>；</w:t>
      </w:r>
      <w:r w:rsidR="00856D4E" w:rsidRPr="00856D4E">
        <w:rPr>
          <w:rFonts w:ascii="宋体" w:eastAsia="宋体" w:hAnsi="宋体" w:hint="eastAsia"/>
          <w:sz w:val="24"/>
          <w:szCs w:val="24"/>
        </w:rPr>
        <w:t>分析了降低商业信用二次配置是否有助于降低</w:t>
      </w:r>
      <w:r w:rsidR="00364CAE">
        <w:rPr>
          <w:rFonts w:ascii="宋体" w:eastAsia="宋体" w:hAnsi="宋体" w:hint="eastAsia"/>
          <w:sz w:val="24"/>
          <w:szCs w:val="24"/>
        </w:rPr>
        <w:t>金融系统</w:t>
      </w:r>
      <w:r w:rsidR="00856D4E" w:rsidRPr="00856D4E">
        <w:rPr>
          <w:rFonts w:ascii="宋体" w:eastAsia="宋体" w:hAnsi="宋体" w:hint="eastAsia"/>
          <w:sz w:val="24"/>
          <w:szCs w:val="24"/>
        </w:rPr>
        <w:t>整体的风险</w:t>
      </w:r>
      <w:r w:rsidR="00546DAA">
        <w:rPr>
          <w:rFonts w:ascii="宋体" w:eastAsia="宋体" w:hAnsi="宋体" w:hint="eastAsia"/>
          <w:sz w:val="24"/>
          <w:szCs w:val="24"/>
        </w:rPr>
        <w:t>；</w:t>
      </w:r>
      <w:r w:rsidR="00520D66">
        <w:rPr>
          <w:rFonts w:ascii="宋体" w:eastAsia="宋体" w:hAnsi="宋体" w:hint="eastAsia"/>
          <w:sz w:val="24"/>
          <w:szCs w:val="24"/>
        </w:rPr>
        <w:t>增加了异质性分析的内容</w:t>
      </w:r>
      <w:r>
        <w:rPr>
          <w:rFonts w:ascii="宋体" w:eastAsia="宋体" w:hAnsi="宋体" w:hint="eastAsia"/>
          <w:sz w:val="24"/>
          <w:szCs w:val="24"/>
        </w:rPr>
        <w:t>，区分了国企和非国企的样本，分组进行实证检验，发现了在国企组商业信用配置与数字普惠金融显著负相关，在非国企组商业信用配置与数字普惠金融之间的关系不显著</w:t>
      </w:r>
      <w:r w:rsidR="00856D4E">
        <w:rPr>
          <w:rFonts w:ascii="宋体" w:eastAsia="宋体" w:hAnsi="宋体" w:hint="eastAsia"/>
          <w:sz w:val="24"/>
          <w:szCs w:val="24"/>
        </w:rPr>
        <w:t>。</w:t>
      </w:r>
    </w:p>
    <w:sectPr w:rsidR="002D662E" w:rsidRPr="001A26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A2C2C" w14:textId="77777777" w:rsidR="00783601" w:rsidRDefault="00783601" w:rsidP="002D662E">
      <w:r>
        <w:separator/>
      </w:r>
    </w:p>
  </w:endnote>
  <w:endnote w:type="continuationSeparator" w:id="0">
    <w:p w14:paraId="659C849C" w14:textId="77777777" w:rsidR="00783601" w:rsidRDefault="00783601" w:rsidP="002D6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08208" w14:textId="77777777" w:rsidR="00783601" w:rsidRDefault="00783601" w:rsidP="002D662E">
      <w:r>
        <w:separator/>
      </w:r>
    </w:p>
  </w:footnote>
  <w:footnote w:type="continuationSeparator" w:id="0">
    <w:p w14:paraId="0BA3690F" w14:textId="77777777" w:rsidR="00783601" w:rsidRDefault="00783601" w:rsidP="002D66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1D2"/>
    <w:rsid w:val="00037925"/>
    <w:rsid w:val="000E1787"/>
    <w:rsid w:val="001A2627"/>
    <w:rsid w:val="00294161"/>
    <w:rsid w:val="002D662E"/>
    <w:rsid w:val="003031D2"/>
    <w:rsid w:val="00314AE2"/>
    <w:rsid w:val="00364CAE"/>
    <w:rsid w:val="00490AB0"/>
    <w:rsid w:val="00520D66"/>
    <w:rsid w:val="00540D47"/>
    <w:rsid w:val="00546DAA"/>
    <w:rsid w:val="005D2C93"/>
    <w:rsid w:val="00661DA3"/>
    <w:rsid w:val="00683A66"/>
    <w:rsid w:val="00711637"/>
    <w:rsid w:val="00783601"/>
    <w:rsid w:val="00856D4E"/>
    <w:rsid w:val="00961F0F"/>
    <w:rsid w:val="00B80792"/>
    <w:rsid w:val="00C356C4"/>
    <w:rsid w:val="00C5202D"/>
    <w:rsid w:val="00D87E5F"/>
    <w:rsid w:val="00D90ED0"/>
    <w:rsid w:val="00F80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1B515"/>
  <w15:chartTrackingRefBased/>
  <w15:docId w15:val="{32A67411-AFA1-47ED-81EF-9FD3CBA2E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D662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D662E"/>
    <w:rPr>
      <w:sz w:val="18"/>
      <w:szCs w:val="18"/>
    </w:rPr>
  </w:style>
  <w:style w:type="paragraph" w:styleId="a5">
    <w:name w:val="footer"/>
    <w:basedOn w:val="a"/>
    <w:link w:val="a6"/>
    <w:uiPriority w:val="99"/>
    <w:unhideWhenUsed/>
    <w:rsid w:val="002D662E"/>
    <w:pPr>
      <w:tabs>
        <w:tab w:val="center" w:pos="4153"/>
        <w:tab w:val="right" w:pos="8306"/>
      </w:tabs>
      <w:snapToGrid w:val="0"/>
      <w:jc w:val="left"/>
    </w:pPr>
    <w:rPr>
      <w:sz w:val="18"/>
      <w:szCs w:val="18"/>
    </w:rPr>
  </w:style>
  <w:style w:type="character" w:customStyle="1" w:styleId="a6">
    <w:name w:val="页脚 字符"/>
    <w:basedOn w:val="a0"/>
    <w:link w:val="a5"/>
    <w:uiPriority w:val="99"/>
    <w:rsid w:val="002D662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74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108</Words>
  <Characters>616</Characters>
  <Application>Microsoft Office Word</Application>
  <DocSecurity>0</DocSecurity>
  <Lines>5</Lines>
  <Paragraphs>1</Paragraphs>
  <ScaleCrop>false</ScaleCrop>
  <Company/>
  <LinksUpToDate>false</LinksUpToDate>
  <CharactersWithSpaces>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 梓耀</dc:creator>
  <cp:keywords/>
  <dc:description/>
  <cp:lastModifiedBy>徐 梓耀</cp:lastModifiedBy>
  <cp:revision>17</cp:revision>
  <dcterms:created xsi:type="dcterms:W3CDTF">2022-06-21T08:29:00Z</dcterms:created>
  <dcterms:modified xsi:type="dcterms:W3CDTF">2022-06-25T09:55:00Z</dcterms:modified>
</cp:coreProperties>
</file>