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bidi w:val="0"/>
        <w:spacing w:line="360" w:lineRule="auto"/>
        <w:jc w:val="center"/>
        <w:rPr>
          <w:rFonts w:hint="eastAsia"/>
          <w:b/>
          <w:bCs/>
          <w:sz w:val="36"/>
          <w:szCs w:val="36"/>
          <w:lang w:val="en-US" w:eastAsia="zh-CN"/>
        </w:rPr>
      </w:pPr>
      <w:r>
        <w:rPr>
          <w:rFonts w:hint="eastAsia"/>
          <w:b/>
          <w:bCs/>
          <w:sz w:val="36"/>
          <w:szCs w:val="36"/>
          <w:lang w:val="en-US" w:eastAsia="zh-CN"/>
        </w:rPr>
        <w:t>总结</w:t>
      </w:r>
    </w:p>
    <w:p>
      <w:pPr>
        <w:bidi w:val="0"/>
        <w:rPr>
          <w:rFonts w:hint="default" w:ascii="Times New Roman" w:hAnsi="Times New Roman" w:cs="Times New Roman"/>
        </w:rPr>
      </w:pPr>
      <w:r>
        <w:rPr>
          <w:rFonts w:hint="default" w:ascii="Times New Roman" w:hAnsi="Times New Roman" w:cs="Times New Roman"/>
        </w:rPr>
        <w:t>本文基于供应链的视角，从理论和实证两个方面探讨了企业持股金融机构对其主要供应商、客户融资约束的影响。研究发现，企业持股金融机构带来的融资约束缓解可以溢出到其主要供应商、客户，且这一溢出效应的大小会受到持股金融机构企业向上下游传递流动性的动机以及后者融资能力的影响。机制检验表明，对于供应商、客户两种不同的关系，溢出效应发挥作用的机制也有所不同。对于供应商来说，这一溢出效应通过减少主要供应商的应收账款周转天数实现；对于客户而言，企业持股金融机构可以在金融机构和其主要客户之间起到桥梁作用，通过信息和决策效应减少主要客户的抵押、担保贷款比例，从而放宽主要客户获得信贷资金的条件，缓解其面临的融资约束。最后，本文还发现，上述溢出效应提高了主要供应商、客户的投资效率和创新水平。</w:t>
      </w:r>
    </w:p>
    <w:p>
      <w:pPr>
        <w:bidi w:val="0"/>
      </w:pPr>
      <w:r>
        <w:rPr>
          <w:rFonts w:hint="eastAsia"/>
          <w:lang w:val="en-US" w:eastAsia="zh-CN"/>
        </w:rPr>
        <w:t>根据讨论中其他同学问的问题，本文存在样本量小与结论现实意义不足等问题，此外</w:t>
      </w:r>
      <w:r>
        <w:t>企业持股金融机构引导资金“脱虚向实”</w:t>
      </w:r>
      <w:r>
        <w:rPr>
          <w:rFonts w:hint="eastAsia"/>
          <w:lang w:val="en-US" w:eastAsia="zh-CN"/>
        </w:rPr>
        <w:t>观点存疑，</w:t>
      </w:r>
      <w:r>
        <w:t>作者的结论是在肯定企业持股金融机构的，但是企业过多的参与金融活动也有很多不利的，比如银行和企业间关联交易会增加银行的风险，或者企业较多的进行金融运作，无心主业。</w:t>
      </w:r>
    </w:p>
    <w:p>
      <w:pPr>
        <w:bidi w:val="0"/>
        <w:rPr>
          <w:rFonts w:hint="eastAsia"/>
          <w:lang w:val="en-US" w:eastAsia="zh-CN"/>
        </w:rPr>
      </w:pPr>
      <w:r>
        <w:rPr>
          <w:rFonts w:hint="eastAsia"/>
          <w:lang w:val="en-US" w:eastAsia="zh-CN"/>
        </w:rPr>
        <w:t>针对同学的讨论，本人经查具体数据，确实发现样本量较小，但好在作者进行了较多的稳健性检验来缓解该问题。其次，关于结论现实意义不足问题，正如刘亮老师的分析，本文的结果确实难以鼓励企业持股金融机构。</w:t>
      </w:r>
    </w:p>
    <w:p>
      <w:pPr>
        <w:bidi w:val="0"/>
        <w:rPr>
          <w:rFonts w:hint="default"/>
          <w:lang w:val="en-US" w:eastAsia="zh-CN"/>
        </w:rPr>
      </w:pPr>
      <w:r>
        <w:rPr>
          <w:rFonts w:hint="eastAsia"/>
          <w:lang w:val="en-US" w:eastAsia="zh-CN"/>
        </w:rPr>
        <w:t>经过一学期的论文讨论，我收益匪浅，十分感谢刘亮老师的指导与各位同学提出的宝贵建议。</w:t>
      </w:r>
    </w:p>
    <w:p>
      <w:bookmarkStart w:id="0" w:name="_GoBack"/>
      <w:bookmarkEnd w:id="0"/>
    </w:p>
    <w:sectPr>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NmVkNGEzMmFkMDYxYjhmMDQ5YjhjYTcyOGJmYjYifQ=="/>
  </w:docVars>
  <w:rsids>
    <w:rsidRoot w:val="00000000"/>
    <w:rsid w:val="71940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2022-06-22T05:36:14Z</dcterms:created>
  <dc:creator>lt</dc:creator>
  <cp:lastModifiedBy>lt</cp:lastModifiedBy>
  <dcterms:modified xsi:type="dcterms:W3CDTF">2022-06-22T05:37:11Z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B2026F2C4D834D9CA9D7601392BC43EC</vt:lpwstr>
  </property>
</Properties>
</file>