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Times New Roman"/>
          <w:sz w:val="21"/>
        </w:rPr>
      </w:pPr>
      <w:bookmarkStart w:id="4" w:name="_GoBack"/>
      <w:bookmarkEnd w:id="4"/>
      <w:bookmarkStart w:id="0" w:name="_Hlk51264469"/>
      <w:r>
        <w:rPr>
          <w:rFonts w:hint="eastAsia" w:ascii="Calibri" w:hAnsi="Calibri" w:cs="Times New Roman"/>
          <w:b/>
          <w:sz w:val="44"/>
          <w:szCs w:val="44"/>
        </w:rPr>
        <w:t>附 录</w:t>
      </w:r>
    </w:p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正文未报告部分</w:t>
      </w:r>
    </w:p>
    <w:bookmarkEnd w:id="0"/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附录1：正文第175页脚注</w:t>
      </w:r>
    </w:p>
    <w:p>
      <w:pPr>
        <w:widowControl/>
        <w:jc w:val="center"/>
        <w:rPr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18"/>
          <w:szCs w:val="18"/>
        </w:rPr>
        <w:drawing>
          <wp:inline distT="0" distB="0" distL="114300" distR="114300">
            <wp:extent cx="4046855" cy="2942590"/>
            <wp:effectExtent l="0" t="0" r="4445" b="3810"/>
            <wp:docPr id="1" name="图片 1" descr="D:\论文2020.11.19\机构投资者共同持股与会计信息质量\成稿\中国工业经济\图1  2007-2019年上市公司有无共同机构所有权盈余管理情况对比.png图1  2007-2019年上市公司有无共同机构所有权盈余管理情况对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论文2020.11.19\机构投资者共同持股与会计信息质量\成稿\中国工业经济\图1  2007-2019年上市公司有无共同机构所有权盈余管理情况对比.png图1  2007-2019年上市公司有无共同机构所有权盈余管理情况对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图1 2007-2019年上市公司有无共同机构所有权真实盈余管理程度对比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附录2：正文第181页脚注</w:t>
      </w:r>
    </w:p>
    <w:p>
      <w:pPr>
        <w:tabs>
          <w:tab w:val="center" w:pos="2520"/>
          <w:tab w:val="center" w:pos="3360"/>
        </w:tabs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表1：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ab/>
      </w:r>
      <w:r>
        <w:rPr>
          <w:rFonts w:hint="eastAsia" w:ascii="黑体" w:hAnsi="黑体" w:eastAsia="黑体" w:cs="黑体"/>
          <w:color w:val="000000"/>
          <w:sz w:val="21"/>
          <w:szCs w:val="21"/>
        </w:rPr>
        <w:t>2007-2019年中国上市公司共同机构所有权联结分布</w:t>
      </w:r>
    </w:p>
    <w:tbl>
      <w:tblPr>
        <w:tblStyle w:val="5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53"/>
        <w:gridCol w:w="1239"/>
        <w:gridCol w:w="1301"/>
        <w:gridCol w:w="1149"/>
        <w:gridCol w:w="1149"/>
        <w:gridCol w:w="126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  <w:sz w:val="18"/>
                <w:szCs w:val="18"/>
              </w:rPr>
              <w:t>年 份</w:t>
            </w:r>
          </w:p>
        </w:tc>
        <w:tc>
          <w:tcPr>
            <w:tcW w:w="379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上市公司拥有共同机构投资者占比</w:t>
            </w:r>
          </w:p>
        </w:tc>
        <w:tc>
          <w:tcPr>
            <w:tcW w:w="48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共同持股比例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1-2家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3-4家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≥5家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＜10%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10%-34%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34%-50%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＞50%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平 均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0.1832 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0.7404 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0.0764 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0.2502 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0.4279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0.1948 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0.1270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0.2524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0.6942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0.0534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0.1699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0.5194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0.2039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0.1068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0.1781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0.7580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0.0639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0.1781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0.4475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0.2283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0.1461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0.2284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0.6853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0.0862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0.1509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0.4784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0.1983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0.2300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0.6767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0.0933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0.2167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0.4367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0.1800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0.1667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0.1746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0.7397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0.0857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0.2222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0.4286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0.1746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0.1951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0.7226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0.0823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0.2043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0.4604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0.1860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0.1494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0.1323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0.7877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0.0800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0.2954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0.4462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0.2031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0.0554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0.1656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0.7485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0.0859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0.2454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0.4049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0.2055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0.1442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0.1882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0.7471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0.0647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0.2500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0.4500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0.1735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0.1265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0.2149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0.7135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0.0716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0.2948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0.3912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0.1928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0.1212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0.1746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0.7513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0.0741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0.2963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0.4048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0.1958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0.1032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0.1179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0.8103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0.0718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0.3000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0.3795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0.2128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0.1077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0.1808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0.7441 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0.0751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0.3052 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0.3967 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0.1901 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0.1080 </w:t>
            </w:r>
          </w:p>
        </w:tc>
      </w:tr>
    </w:tbl>
    <w:p>
      <w:pPr>
        <w:tabs>
          <w:tab w:val="left" w:pos="1536"/>
        </w:tabs>
        <w:ind w:firstLine="340" w:firstLineChars="200"/>
        <w:rPr>
          <w:rFonts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共同机构投资者数量为季度数据累加值。如：共同机构投资者“中科汇通（深圳）股权投资基金有限公司”2016年第1季度至第3季度持股沙河股份，四个季度的累加值为3；“国家集成电路产业投资基金股份有限公司”2019年连续4个季度持股兆易创新，四个季度的累加值为4。</w:t>
      </w:r>
    </w:p>
    <w:p>
      <w:pPr>
        <w:spacing w:line="360" w:lineRule="auto"/>
        <w:rPr>
          <w:szCs w:val="24"/>
        </w:rPr>
      </w:pPr>
    </w:p>
    <w:p>
      <w:pPr>
        <w:spacing w:line="360" w:lineRule="auto"/>
        <w:rPr>
          <w:rFonts w:hint="eastAsia"/>
          <w:szCs w:val="24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附录3：正文第181页脚注（文字内容在第182页）</w:t>
      </w:r>
    </w:p>
    <w:p>
      <w:pPr>
        <w:tabs>
          <w:tab w:val="center" w:pos="4200"/>
        </w:tabs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表2：描述性统计特征</w:t>
      </w:r>
    </w:p>
    <w:tbl>
      <w:tblPr>
        <w:tblStyle w:val="5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59"/>
        <w:gridCol w:w="965"/>
        <w:gridCol w:w="925"/>
        <w:gridCol w:w="939"/>
        <w:gridCol w:w="995"/>
        <w:gridCol w:w="947"/>
        <w:gridCol w:w="1312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2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变量符号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观测值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平均值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中位数</w:t>
            </w:r>
          </w:p>
        </w:tc>
        <w:tc>
          <w:tcPr>
            <w:tcW w:w="9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最小值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最大值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标准差</w:t>
            </w:r>
          </w:p>
        </w:tc>
        <w:tc>
          <w:tcPr>
            <w:tcW w:w="1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相关系数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DA1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相关系数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DA2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2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0.0836 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</w:t>
            </w:r>
            <w:r>
              <w:rPr>
                <w:rFonts w:cs="Times New Roman"/>
                <w:color w:val="000000"/>
                <w:sz w:val="18"/>
                <w:szCs w:val="18"/>
              </w:rPr>
              <w:t>.056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0.0010 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0.5827 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0.0941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DA2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0.0803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</w:t>
            </w:r>
            <w:r>
              <w:rPr>
                <w:rFonts w:cs="Times New Roman"/>
                <w:color w:val="000000"/>
                <w:sz w:val="18"/>
                <w:szCs w:val="18"/>
              </w:rPr>
              <w:t>.05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0.0009 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0.5583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0.0917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oz1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0.1271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.0000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0.3331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-0.037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-0.03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oz2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0.0792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0.6931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0.2129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-0.042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oz3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0.0326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0.5392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0.1043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-0.045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Institution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6.4810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3.8628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35.3115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7.4426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-</w:t>
            </w:r>
            <w:r>
              <w:rPr>
                <w:rFonts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22.1446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21.992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19.1604 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26.1859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1.3537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894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1002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0.4622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0.4585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0.0571 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1.0548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0.2171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0.12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314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ROA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0.0325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0.0349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-0.3882 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0.2112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0.0757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-0.15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67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-0.16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Growth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0.2094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0.1162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-0.6636 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4.0909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0.5646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0.19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29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1892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Toptenrate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57.4161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58.3114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21.5119 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90.6039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15.7144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-0.016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22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Dual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0.2510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0.4336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113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120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Independent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0.3738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0.3333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0.3125 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0.5714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0.0536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11</w:t>
            </w: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Magpay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0.0067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0.0043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0.0001 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0.0453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0.0076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630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0.06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94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Boardshare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0.1055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0.6589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0.1784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-0.01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65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-0.01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66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Invrec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0.2721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0.2516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0.0048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0.7552 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0.1692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807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935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Analyst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7.5564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3.0000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42.0000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9.6360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322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364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Opin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0.9470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0.2240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-0.16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-0.17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41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Aud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0.5932 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0.4913 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80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有共同机构所有权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无共同机构所有权</w:t>
            </w:r>
          </w:p>
        </w:tc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均值差异</w:t>
            </w:r>
          </w:p>
        </w:tc>
        <w:tc>
          <w:tcPr>
            <w:tcW w:w="25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中位数差异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中位数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中位数</w:t>
            </w:r>
          </w:p>
        </w:tc>
        <w:tc>
          <w:tcPr>
            <w:tcW w:w="19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0.057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-0.011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-0.007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DA2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0.071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0.082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0.054 </w:t>
            </w:r>
          </w:p>
        </w:tc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-0.011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-0.007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</w:tbl>
    <w:p>
      <w:pPr>
        <w:tabs>
          <w:tab w:val="left" w:pos="1536"/>
        </w:tabs>
        <w:ind w:firstLine="340" w:firstLineChars="200"/>
        <w:rPr>
          <w:rFonts w:hint="eastAsia" w:cs="Times New Roman"/>
          <w:color w:val="000000"/>
          <w:sz w:val="21"/>
          <w:szCs w:val="24"/>
        </w:rPr>
      </w:pPr>
      <w:r>
        <w:rPr>
          <w:rFonts w:cs="Times New Roman"/>
          <w:color w:val="000000"/>
          <w:sz w:val="18"/>
          <w:szCs w:val="18"/>
        </w:rPr>
        <w:t>注</w:t>
      </w:r>
      <w:r>
        <w:rPr>
          <w:rFonts w:hint="eastAsia" w:cs="Times New Roman"/>
          <w:color w:val="000000"/>
          <w:sz w:val="18"/>
          <w:szCs w:val="18"/>
        </w:rPr>
        <w:t>：</w:t>
      </w:r>
      <w:r>
        <w:rPr>
          <w:rFonts w:cs="Times New Roman"/>
          <w:color w:val="000000"/>
          <w:sz w:val="18"/>
          <w:szCs w:val="18"/>
        </w:rPr>
        <w:t>***、**和*分别表示1%、5%和10%的水平</w:t>
      </w:r>
      <w:r>
        <w:rPr>
          <w:rFonts w:hint="eastAsia" w:cs="Times New Roman"/>
          <w:color w:val="000000"/>
          <w:sz w:val="18"/>
          <w:szCs w:val="18"/>
        </w:rPr>
        <w:t>上</w:t>
      </w:r>
      <w:r>
        <w:rPr>
          <w:rFonts w:cs="Times New Roman"/>
          <w:color w:val="000000"/>
          <w:sz w:val="18"/>
          <w:szCs w:val="18"/>
        </w:rPr>
        <w:t>显著</w:t>
      </w:r>
      <w:r>
        <w:rPr>
          <w:rFonts w:hint="eastAsia" w:cs="Times New Roman"/>
          <w:color w:val="000000"/>
          <w:sz w:val="18"/>
          <w:szCs w:val="18"/>
        </w:rPr>
        <w:t>；正文数字若来自表格，为四舍五入的结果。以下各表同。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附录4：正文第183页表2完整版</w:t>
      </w:r>
    </w:p>
    <w:p>
      <w:pPr>
        <w:tabs>
          <w:tab w:val="center" w:pos="4410"/>
        </w:tabs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表3：共同机构所有权与盈余管理:基准回归</w:t>
      </w:r>
    </w:p>
    <w:tbl>
      <w:tblPr>
        <w:tblStyle w:val="5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03"/>
        <w:gridCol w:w="1405"/>
        <w:gridCol w:w="1411"/>
        <w:gridCol w:w="1404"/>
        <w:gridCol w:w="1404"/>
        <w:gridCol w:w="14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变量</w:t>
            </w:r>
          </w:p>
        </w:tc>
        <w:tc>
          <w:tcPr>
            <w:tcW w:w="4219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盈余管理程度（扩展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Jones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模型计算）</w:t>
            </w:r>
          </w:p>
        </w:tc>
        <w:tc>
          <w:tcPr>
            <w:tcW w:w="4216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盈余管理程度（修正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Jones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模型计算）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-0.0048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-0.0046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(-2.9786)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(-2.9277)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oz2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-0.0090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-0.0086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(-3.5991)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(-3.5422)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oz3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-0.0216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-0.0216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(-4.5438)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(-4.7264)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nstitution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(1.5850)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(1.5711)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(1.4890)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(1.3417)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(1.3276)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(1.2393)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ize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-0.0066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-0.0066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-0.0065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-0.0076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-0.0075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-0.0075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(-7.9796)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(-7.9283)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(-7.7998)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(-9.3929)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(-9.3431)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(-9.1952)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L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everage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0.0212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0.0213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0.0214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0.0225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0.0226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0.0227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(4.5995)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(4.6120)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(4.6353)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(4.9800)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(4.9921)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(5.0189)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oa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-0.2110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-0.2110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-0.2112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-0.2144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-0.2144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-0.2146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(-12.8244)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(-12.8242)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(-12.8369)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(-13.2528)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(-13.2529)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(-13.2678)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rowth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0.0345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0.0344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0.0344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0.0336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0.0335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0.0335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(15.5953)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(15.5849)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(15.5812)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(15.7889)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(15.7775)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(15.7709)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T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optenrate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(5.4173)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(5.4342)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(5.6057)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(5.2692)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(5.2873)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(5.4732)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ual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0.0028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0.0027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0.0027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0.0025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0.0025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0.0025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(1.9385)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(1.9266)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(1.8882)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(1.8191)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(1.8071)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(1.7634)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ndependent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0.0036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0.0034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0.0094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0.0092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(0.3212)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(0.3042)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(0.3548)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(0.8639)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(0.8468)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(0.8938)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M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agpay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0.3756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0.3763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0.3777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0.3445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0.3452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0.3469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(2.9158)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(2.9216)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(2.9306)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(2.7272)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(2.7332)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(2.7455)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B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oardshare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-0.0024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-0.0026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-0.0029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-0.0030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-0.0032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(-0.6691)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(-0.7150)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(-0.8042)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(-0.8681)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(-0.9148)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(-1.0216)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nvrec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0.0230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0.0229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0.0227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0.0278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0.0277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0.0275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(4.6611)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(4.6381)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(4.6046)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(5.8126)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(5.7898)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(5.7499)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nalyst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(7.1090)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(7.0944)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(7.0874)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(8.1499)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(8.1351)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(8.1227)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O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pin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-0.0409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-0.0408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-0.0408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-0.0417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-0.0417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-0.0416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(-10.2467)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(-10.2360)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(-10.2228)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(-10.7254)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(-10.7151)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(-10.7015)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ud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-0.0043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-0.0043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-0.0042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-0.0037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-0.0037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-0.0036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(-3.5288)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(-3.5238)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(-3.4459)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(-3.0937)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(-3.0883)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(-3.0049)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_cons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0.2681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0.2673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0.2649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0.2848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0.2841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0.2814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(13.4216)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(13.3690)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(13.1820)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(14.6695)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(14.6196)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(14.4157)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Year fe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Industry fe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22591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r2_a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0.1387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0.1388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0.1389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0.1458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0.1459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0.1461</w:t>
            </w:r>
          </w:p>
        </w:tc>
      </w:tr>
    </w:tbl>
    <w:p>
      <w:pPr>
        <w:spacing w:before="178" w:beforeLines="50"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附录5：正文第182-183页——Heckman二阶段回归</w:t>
      </w:r>
    </w:p>
    <w:p>
      <w:pPr>
        <w:tabs>
          <w:tab w:val="center" w:pos="4410"/>
        </w:tabs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表4：共同机构所有权与盈余管理：Heckman二阶段回归</w:t>
      </w:r>
    </w:p>
    <w:tbl>
      <w:tblPr>
        <w:tblStyle w:val="5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983"/>
        <w:gridCol w:w="1987"/>
        <w:gridCol w:w="1982"/>
        <w:gridCol w:w="19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变量</w:t>
            </w:r>
          </w:p>
        </w:tc>
        <w:tc>
          <w:tcPr>
            <w:tcW w:w="3970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盈余管理程度（扩展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Jones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模型计算）</w:t>
            </w:r>
          </w:p>
        </w:tc>
        <w:tc>
          <w:tcPr>
            <w:tcW w:w="3968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盈余管理程度（修正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Jones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模型计算）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69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oz2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-0.0208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-0.0200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(-1.8260)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(-1.8284)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oz3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-0.0289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-0.0265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(-2.8393)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(-2.6974)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IMR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0.0948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0.0941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0.1033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0.1026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(5.4618)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(5.4263)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(6.1277)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(6.0991)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_cons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-0.1340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-0.1487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-0.1399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-0.1541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(-1.7073)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(-1.9105)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(-1.8262)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(-2.0275)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CVs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Year fe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Industry fe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20018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20018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20018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Wald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chi2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559.4299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565.3517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595.0756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600.1997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</w:tbl>
    <w:p>
      <w:pPr>
        <w:ind w:firstLine="340" w:firstLineChars="200"/>
        <w:rPr>
          <w:rFonts w:hint="eastAsia" w:cs="Times New Roman"/>
          <w:color w:val="000000"/>
          <w:sz w:val="21"/>
          <w:szCs w:val="24"/>
        </w:rPr>
      </w:pPr>
      <w:r>
        <w:rPr>
          <w:rFonts w:cs="Times New Roman"/>
          <w:color w:val="000000"/>
          <w:sz w:val="18"/>
          <w:szCs w:val="18"/>
        </w:rPr>
        <w:t>注</w:t>
      </w:r>
      <w:r>
        <w:rPr>
          <w:rFonts w:hint="eastAsia" w:cs="Times New Roman"/>
          <w:color w:val="000000"/>
          <w:sz w:val="18"/>
          <w:szCs w:val="18"/>
        </w:rPr>
        <w:t>：</w:t>
      </w:r>
      <w:r>
        <w:rPr>
          <w:rFonts w:cs="Times New Roman"/>
          <w:i/>
          <w:iCs/>
          <w:color w:val="000000"/>
          <w:sz w:val="18"/>
          <w:szCs w:val="18"/>
        </w:rPr>
        <w:t>CVs</w:t>
      </w:r>
      <w:r>
        <w:rPr>
          <w:rFonts w:cs="Times New Roman"/>
          <w:color w:val="000000"/>
          <w:sz w:val="18"/>
          <w:szCs w:val="18"/>
        </w:rPr>
        <w:t>为控制变量</w:t>
      </w:r>
      <w:r>
        <w:rPr>
          <w:rFonts w:hint="eastAsia" w:cs="Times New Roman"/>
          <w:color w:val="000000"/>
          <w:sz w:val="18"/>
          <w:szCs w:val="18"/>
        </w:rPr>
        <w:t>，以下各表同</w:t>
      </w:r>
      <w:r>
        <w:rPr>
          <w:rFonts w:cs="Times New Roman"/>
          <w:color w:val="000000"/>
          <w:sz w:val="18"/>
          <w:szCs w:val="18"/>
        </w:rPr>
        <w:t>。</w:t>
      </w: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000000"/>
          <w:sz w:val="21"/>
          <w:szCs w:val="21"/>
        </w:rPr>
      </w:pP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000000"/>
          <w:sz w:val="21"/>
          <w:szCs w:val="21"/>
        </w:rPr>
      </w:pP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000000"/>
          <w:sz w:val="21"/>
          <w:szCs w:val="21"/>
        </w:rPr>
      </w:pP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000000"/>
          <w:sz w:val="21"/>
          <w:szCs w:val="21"/>
        </w:rPr>
      </w:pP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000000"/>
          <w:sz w:val="21"/>
          <w:szCs w:val="21"/>
        </w:rPr>
      </w:pP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000000"/>
          <w:sz w:val="21"/>
          <w:szCs w:val="21"/>
        </w:rPr>
      </w:pP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000000"/>
          <w:sz w:val="21"/>
          <w:szCs w:val="21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附录6：正文第183-184页——工具变量法</w:t>
      </w:r>
    </w:p>
    <w:p>
      <w:pPr>
        <w:tabs>
          <w:tab w:val="center" w:pos="4620"/>
        </w:tabs>
        <w:jc w:val="center"/>
        <w:rPr>
          <w:rFonts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表5：共同机构所有权与盈余管理：工具变量法</w:t>
      </w:r>
    </w:p>
    <w:tbl>
      <w:tblPr>
        <w:tblStyle w:val="5"/>
        <w:tblW w:w="963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852"/>
        <w:gridCol w:w="1843"/>
        <w:gridCol w:w="1825"/>
        <w:gridCol w:w="185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3695" w:type="dxa"/>
            <w:gridSpan w:val="2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盈余管理程度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（扩展Jones模型计算）</w:t>
            </w:r>
          </w:p>
        </w:tc>
        <w:tc>
          <w:tcPr>
            <w:tcW w:w="3676" w:type="dxa"/>
            <w:gridSpan w:val="2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盈余管理程度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（修正Jones模型计算）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二阶段（</w:t>
            </w:r>
            <w:r>
              <w:rPr>
                <w:rFonts w:hint="eastAsia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2SLS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二阶段（</w:t>
            </w:r>
            <w:r>
              <w:rPr>
                <w:rFonts w:hint="eastAsia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GMM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Merge w:val="continue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oz2</w:t>
            </w:r>
          </w:p>
        </w:tc>
        <w:tc>
          <w:tcPr>
            <w:tcW w:w="1852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-1.0761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43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-1.0335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25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-1.0915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51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-1.0467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(-1.8461)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(-1.8506)</w:t>
            </w:r>
          </w:p>
        </w:tc>
        <w:tc>
          <w:tcPr>
            <w:tcW w:w="18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(-1.8507)</w:t>
            </w:r>
          </w:p>
        </w:tc>
        <w:tc>
          <w:tcPr>
            <w:tcW w:w="1851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(-1.8551)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CVs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51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_cons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-0.3209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-0.2809</w:t>
            </w:r>
          </w:p>
        </w:tc>
        <w:tc>
          <w:tcPr>
            <w:tcW w:w="18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-0.3286</w:t>
            </w:r>
          </w:p>
        </w:tc>
        <w:tc>
          <w:tcPr>
            <w:tcW w:w="1851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-0.2875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(-0.9815)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(-0.8971)</w:t>
            </w:r>
          </w:p>
        </w:tc>
        <w:tc>
          <w:tcPr>
            <w:tcW w:w="18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(-0.9932)</w:t>
            </w:r>
          </w:p>
        </w:tc>
        <w:tc>
          <w:tcPr>
            <w:tcW w:w="1851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(-0.9088)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Year fe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51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Industry fe</w:t>
            </w:r>
          </w:p>
        </w:tc>
        <w:tc>
          <w:tcPr>
            <w:tcW w:w="1852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43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25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851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852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22591</w:t>
            </w:r>
          </w:p>
        </w:tc>
        <w:tc>
          <w:tcPr>
            <w:tcW w:w="1843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22591</w:t>
            </w:r>
          </w:p>
        </w:tc>
        <w:tc>
          <w:tcPr>
            <w:tcW w:w="182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22591</w:t>
            </w:r>
          </w:p>
        </w:tc>
        <w:tc>
          <w:tcPr>
            <w:tcW w:w="1851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Hansen J statistic</w:t>
            </w:r>
          </w:p>
        </w:tc>
        <w:tc>
          <w:tcPr>
            <w:tcW w:w="7371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0.290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P-val 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of 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Hansen J statistic</w:t>
            </w:r>
          </w:p>
        </w:tc>
        <w:tc>
          <w:tcPr>
            <w:tcW w:w="7371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0.5900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Sargan statistic</w:t>
            </w:r>
          </w:p>
        </w:tc>
        <w:tc>
          <w:tcPr>
            <w:tcW w:w="7371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P-val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Sargan statistic</w:t>
            </w:r>
          </w:p>
        </w:tc>
        <w:tc>
          <w:tcPr>
            <w:tcW w:w="7371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0.5394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</w:t>
            </w:r>
          </w:p>
        </w:tc>
        <w:tc>
          <w:tcPr>
            <w:tcW w:w="7371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48.24</w:t>
            </w:r>
          </w:p>
        </w:tc>
      </w:tr>
    </w:tbl>
    <w:p>
      <w:pPr>
        <w:spacing w:before="178" w:beforeLines="50"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附录7：正文第184页——PSM-OLS</w:t>
      </w:r>
    </w:p>
    <w:p>
      <w:pPr>
        <w:tabs>
          <w:tab w:val="center" w:pos="3360"/>
        </w:tabs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表6：共同机构所有权与盈</w:t>
      </w:r>
      <w:r>
        <w:rPr>
          <w:rFonts w:hint="eastAsia"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余管理：PSM-OLS</w:t>
      </w:r>
    </w:p>
    <w:tbl>
      <w:tblPr>
        <w:tblStyle w:val="5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973"/>
        <w:gridCol w:w="2002"/>
        <w:gridCol w:w="1977"/>
        <w:gridCol w:w="20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3975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盈余管理程度</w:t>
            </w:r>
            <w:r>
              <w:rPr>
                <w:rFonts w:cs="Times New Roman"/>
                <w:color w:val="000000"/>
                <w:sz w:val="18"/>
                <w:szCs w:val="18"/>
              </w:rPr>
              <w:t>（扩展Jones模型计算）</w:t>
            </w:r>
          </w:p>
        </w:tc>
        <w:tc>
          <w:tcPr>
            <w:tcW w:w="3984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盈余管理程度</w:t>
            </w:r>
            <w:r>
              <w:rPr>
                <w:rFonts w:cs="Times New Roman"/>
                <w:color w:val="000000"/>
                <w:sz w:val="18"/>
                <w:szCs w:val="18"/>
              </w:rPr>
              <w:t>（修正Jones模型计算）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PSM匹配样本回归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PSM匹配样本回归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4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-0.0117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-0.0117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(-3.2251)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(-3.3236)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oz3</w:t>
            </w: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-0.0272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-0.0268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(-4.2000)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(-4.2595)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_cons</w:t>
            </w: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0.2575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0.2527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0.2660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0.2612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(5.5261)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(5.4337)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(5.9577)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(5.8629)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CVs</w:t>
            </w: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Year fe</w:t>
            </w: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Industry fe</w:t>
            </w: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ATT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Difference=-0.0070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；T=-2.63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Difference=-0.0064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；T=-2.49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N</w:t>
            </w: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4923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4923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4923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r2_a</w:t>
            </w:r>
          </w:p>
        </w:tc>
        <w:tc>
          <w:tcPr>
            <w:tcW w:w="197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0.1663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0.1670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0.1718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0.1725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Cs w:val="21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附录8：正文第184页——PSM-DID和PSM-差分</w:t>
      </w:r>
    </w:p>
    <w:p>
      <w:pPr>
        <w:tabs>
          <w:tab w:val="center" w:pos="3360"/>
        </w:tabs>
        <w:jc w:val="center"/>
        <w:rPr>
          <w:rFonts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表7：共同机构所有权与盈余管理：PSM-DID和PSM-差分</w:t>
      </w:r>
    </w:p>
    <w:tbl>
      <w:tblPr>
        <w:tblStyle w:val="5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977"/>
        <w:gridCol w:w="1998"/>
        <w:gridCol w:w="1979"/>
        <w:gridCol w:w="19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39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双重差分检验</w:t>
            </w:r>
          </w:p>
        </w:tc>
        <w:tc>
          <w:tcPr>
            <w:tcW w:w="39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差分检验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Treat×After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-0.0207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-0.0149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(-2.3929)</w:t>
            </w: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(-1.7250)</w:t>
            </w: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oz3</w:t>
            </w: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-0.0416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-0.0477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(-1.8443)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(-2.2104)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CVs</w:t>
            </w: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DCVs</w:t>
            </w: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_cons</w:t>
            </w: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0.1699</w:t>
            </w: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0.2269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-0.0044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(1.2811)</w:t>
            </w: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(1.7291)</w:t>
            </w: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(-0.8800)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(-0.7780)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Year fe</w:t>
            </w: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Firm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fe</w:t>
            </w: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2696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2696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4437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r2_a</w:t>
            </w:r>
          </w:p>
        </w:tc>
        <w:tc>
          <w:tcPr>
            <w:tcW w:w="1977" w:type="dxa"/>
            <w:tcBorders>
              <w:top w:val="nil"/>
              <w:left w:val="single" w:color="000000" w:sz="4" w:space="0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0.1145</w:t>
            </w: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0.1036</w:t>
            </w:r>
          </w:p>
        </w:tc>
        <w:tc>
          <w:tcPr>
            <w:tcW w:w="1979" w:type="dxa"/>
            <w:tcBorders>
              <w:top w:val="nil"/>
              <w:left w:val="single" w:color="000000" w:sz="4" w:space="0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0.1148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single" w:color="auto" w:sz="8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0.1176</w:t>
            </w:r>
          </w:p>
        </w:tc>
      </w:tr>
    </w:tbl>
    <w:p>
      <w:pPr>
        <w:spacing w:before="178" w:beforeLines="50"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附录9：正文第184-185页——t+1期因变量、更换盈余管理指标、改变自变量界定门槛</w:t>
      </w:r>
    </w:p>
    <w:p>
      <w:pPr>
        <w:tabs>
          <w:tab w:val="center" w:pos="4410"/>
        </w:tabs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表8：内生性和稳健性检验（1）</w:t>
      </w:r>
    </w:p>
    <w:tbl>
      <w:tblPr>
        <w:tblStyle w:val="5"/>
        <w:tblW w:w="96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80"/>
        <w:gridCol w:w="1386"/>
        <w:gridCol w:w="1326"/>
        <w:gridCol w:w="1334"/>
        <w:gridCol w:w="1326"/>
        <w:gridCol w:w="13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2766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t+1期DA1</w:t>
            </w: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1"/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变换因变量</w:t>
            </w:r>
          </w:p>
          <w:p>
            <w:pPr>
              <w:tabs>
                <w:tab w:val="left" w:pos="431"/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（真实盈余）</w:t>
            </w:r>
          </w:p>
        </w:tc>
        <w:tc>
          <w:tcPr>
            <w:tcW w:w="2659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替换自变量</w:t>
            </w:r>
          </w:p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（前十大股东）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  <w:vertAlign w:val="subscript"/>
              </w:rPr>
              <w:t>t+1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1</w:t>
            </w: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  <w:vertAlign w:val="subscript"/>
              </w:rPr>
              <w:t>t+1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REM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REM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DA1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DA1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-0.0066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-0.0109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(-2.4288)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(-2.2825)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oz3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-0.0129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-0.0228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(-2.4773)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(-2.4538)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oz22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-0.0026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(-2.0855)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oz33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-0.0008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(-2.2243)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_cons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0.3713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0.3705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0.3852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0.3835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0.2762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0.2783</w:t>
            </w:r>
            <w:r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(17.2433)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(17.1121)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(11.4997)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(11.4231)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(12.5661)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(12.7146)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i/>
                <w:iCs/>
                <w:color w:val="000000"/>
                <w:sz w:val="18"/>
                <w:szCs w:val="18"/>
              </w:rPr>
              <w:t>CVs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Year fe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/>
                <w:sz w:val="18"/>
                <w:szCs w:val="18"/>
              </w:rPr>
              <w:t>Industry fe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20110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20433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20433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19155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r2_a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0.0940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0.0940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0.1136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0.1136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0.1294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0.1294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color w:val="000000"/>
          <w:sz w:val="21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 w:val="21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 w:val="21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 w:val="21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 w:val="21"/>
          <w:szCs w:val="21"/>
        </w:rPr>
      </w:pPr>
    </w:p>
    <w:p>
      <w:pPr>
        <w:spacing w:line="360" w:lineRule="auto"/>
        <w:rPr>
          <w:rFonts w:ascii="黑体" w:hAnsi="黑体" w:eastAsia="黑体" w:cs="黑体"/>
          <w:color w:val="000000"/>
          <w:sz w:val="21"/>
          <w:szCs w:val="21"/>
        </w:rPr>
      </w:pPr>
    </w:p>
    <w:p>
      <w:pPr>
        <w:spacing w:line="360" w:lineRule="auto"/>
        <w:rPr>
          <w:rFonts w:hint="eastAsia" w:ascii="黑体" w:hAnsi="黑体" w:eastAsia="黑体" w:cs="黑体"/>
          <w:color w:val="000000"/>
          <w:sz w:val="21"/>
          <w:szCs w:val="21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附录10：正文第185页——改变自变量界定方式、子样本回归、增加控制变量</w:t>
      </w:r>
    </w:p>
    <w:p>
      <w:pPr>
        <w:tabs>
          <w:tab w:val="center" w:pos="4410"/>
        </w:tabs>
        <w:jc w:val="center"/>
        <w:rPr>
          <w:rFonts w:cs="Times New Roman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表9：稳健性检验（2）</w:t>
      </w:r>
    </w:p>
    <w:tbl>
      <w:tblPr>
        <w:tblStyle w:val="5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405"/>
        <w:gridCol w:w="1405"/>
        <w:gridCol w:w="1405"/>
        <w:gridCol w:w="1404"/>
        <w:gridCol w:w="1404"/>
        <w:gridCol w:w="14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2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36"/>
              </w:tabs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替换自变量</w:t>
            </w:r>
          </w:p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年度数据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子样本回归</w:t>
            </w:r>
          </w:p>
        </w:tc>
        <w:tc>
          <w:tcPr>
            <w:tcW w:w="2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新增控制变量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(5)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Coz</w:t>
            </w: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_year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-0.0090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(-3.8010)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Coz</w:t>
            </w: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_year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-0.0196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(-4.3958)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oz2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-0.0133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-0.0090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(-3.7832)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(-3.5983)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oz3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-0.0311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-0.0216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(-4.9606)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(-4.5417)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institution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-0.0001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(-0.0337)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(0.0042)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CVs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_cons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0.2667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0.2648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0.2411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0.2379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0.2673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0.2649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(13.3364)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(13.1779)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(9.0076)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(8.8379)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(13.3709)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(13.1829)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Year fe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Industry fe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r2_a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0.1388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0.1389</w:t>
            </w:r>
          </w:p>
        </w:tc>
        <w:tc>
          <w:tcPr>
            <w:tcW w:w="1405" w:type="dxa"/>
            <w:tcBorders>
              <w:top w:val="nil"/>
              <w:left w:val="single" w:color="000000" w:sz="4" w:space="0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0.1222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0.1225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0.1387</w:t>
            </w: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single" w:color="auto" w:sz="8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0.1389</w:t>
            </w:r>
          </w:p>
        </w:tc>
      </w:tr>
    </w:tbl>
    <w:p>
      <w:pPr>
        <w:spacing w:before="178" w:beforeLines="50"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附录11：正文第188-189页——宏观经济的影响、产权性质的影响、经济后果检验</w:t>
      </w:r>
    </w:p>
    <w:p>
      <w:pPr>
        <w:tabs>
          <w:tab w:val="center" w:pos="4410"/>
        </w:tabs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表10：宏观经济、微观层面及经济后果</w:t>
      </w:r>
    </w:p>
    <w:tbl>
      <w:tblPr>
        <w:tblStyle w:val="5"/>
        <w:tblW w:w="9642" w:type="dxa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61"/>
        <w:gridCol w:w="1061"/>
        <w:gridCol w:w="1061"/>
        <w:gridCol w:w="1061"/>
        <w:gridCol w:w="991"/>
        <w:gridCol w:w="1063"/>
        <w:gridCol w:w="1034"/>
        <w:gridCol w:w="10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变量</w:t>
            </w:r>
          </w:p>
        </w:tc>
        <w:tc>
          <w:tcPr>
            <w:tcW w:w="2122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宏观经济</w:t>
            </w:r>
          </w:p>
        </w:tc>
        <w:tc>
          <w:tcPr>
            <w:tcW w:w="2122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微观层面</w:t>
            </w: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权威机构认可</w:t>
            </w:r>
          </w:p>
        </w:tc>
        <w:tc>
          <w:tcPr>
            <w:tcW w:w="209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审计收费降低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GDP增速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产权性质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深圳证券交易所评级</w:t>
            </w:r>
          </w:p>
        </w:tc>
        <w:tc>
          <w:tcPr>
            <w:tcW w:w="209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i/>
                <w:iCs/>
                <w:color w:val="000000"/>
                <w:sz w:val="18"/>
                <w:szCs w:val="18"/>
              </w:rPr>
              <w:t>ank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i/>
                <w:iCs/>
                <w:color w:val="000000"/>
                <w:sz w:val="18"/>
                <w:szCs w:val="18"/>
              </w:rPr>
              <w:t>ank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FEE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FEE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i/>
                <w:iCs/>
                <w:color w:val="000000"/>
                <w:sz w:val="18"/>
                <w:szCs w:val="18"/>
              </w:rPr>
              <w:t>oz2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DGDP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-0.0166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-0.0135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(-3.4306)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(-2.8760)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i/>
                <w:iCs/>
                <w:color w:val="000000"/>
                <w:sz w:val="18"/>
                <w:szCs w:val="18"/>
              </w:rPr>
              <w:t>oz2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-0.0013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-0.0023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0.0015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0.0058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0.0345</w:t>
            </w:r>
            <w:r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0.0092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(-0.4165)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(-0.7875)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(0.2839)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(1.0982)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(1.7622)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(0.0026)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(0.4172)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DGDP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-0.0007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(-0.1876)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(0.2809)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i/>
                <w:iCs/>
                <w:color w:val="000000"/>
                <w:sz w:val="18"/>
                <w:szCs w:val="18"/>
              </w:rPr>
              <w:t>oz2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i/>
                <w:iCs/>
                <w:color w:val="000000"/>
                <w:sz w:val="18"/>
                <w:szCs w:val="18"/>
              </w:rPr>
              <w:t>tate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-0.0117</w:t>
            </w:r>
            <w:r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-0.0180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(-1.9193)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(-2.9960)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i/>
                <w:iCs/>
                <w:color w:val="000000"/>
                <w:sz w:val="18"/>
                <w:szCs w:val="18"/>
              </w:rPr>
              <w:t>tate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-0.0075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-0.0069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(-4.3725)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(-4.1399)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i/>
                <w:iCs/>
                <w:color w:val="000000"/>
                <w:sz w:val="18"/>
                <w:szCs w:val="18"/>
              </w:rPr>
              <w:t>oz2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0.4220</w:t>
            </w:r>
            <w:r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-0.4997</w:t>
            </w:r>
            <w:r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(1.9328)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(-2.4080)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i/>
                <w:iCs/>
                <w:color w:val="000000"/>
                <w:sz w:val="18"/>
                <w:szCs w:val="18"/>
              </w:rPr>
              <w:t>oz</w:t>
            </w: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-1.4126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(-3.0662)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i/>
                <w:iCs/>
                <w:color w:val="000000"/>
                <w:sz w:val="18"/>
                <w:szCs w:val="18"/>
              </w:rPr>
              <w:t>oz</w:t>
            </w: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(0.2929)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-0.1499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-0.0269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(-3.7001)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(-0.7150)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(-0.7778)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_cons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0.2690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0.2837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0.2373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0.2551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0.3604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0.3930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3.6662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3.6570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(13.0205)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(14.1508)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(11.3591)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(12.5746)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(2.9300)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(3.1982)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(35.2318)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(35.1245)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CVs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Year fe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Industry fe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r2_a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0.1391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0.1461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0.1282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0.1346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0.1865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0.1873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0.6687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0.6688</w:t>
            </w:r>
          </w:p>
        </w:tc>
      </w:tr>
    </w:tbl>
    <w:p>
      <w:pPr>
        <w:spacing w:before="178" w:beforeLines="50"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附录12：正文第189页——机构异质性检验</w:t>
      </w:r>
    </w:p>
    <w:p>
      <w:pPr>
        <w:tabs>
          <w:tab w:val="center" w:pos="3360"/>
        </w:tabs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表11：长期和短期共同机构投资者效应检验</w:t>
      </w:r>
    </w:p>
    <w:tbl>
      <w:tblPr>
        <w:tblStyle w:val="5"/>
        <w:tblW w:w="963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84"/>
        <w:gridCol w:w="1981"/>
        <w:gridCol w:w="1984"/>
        <w:gridCol w:w="198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cr/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长期持有</w:t>
            </w:r>
          </w:p>
        </w:tc>
        <w:tc>
          <w:tcPr>
            <w:tcW w:w="1981" w:type="dxa"/>
            <w:tcBorders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短期持有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长期持有</w:t>
            </w:r>
          </w:p>
        </w:tc>
        <w:tc>
          <w:tcPr>
            <w:tcW w:w="1983" w:type="dxa"/>
            <w:tcBorders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短期持有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Merge w:val="continue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(1)</w:t>
            </w:r>
          </w:p>
        </w:tc>
        <w:tc>
          <w:tcPr>
            <w:tcW w:w="1981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1984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1983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3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DA</w:t>
            </w: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tcBorders>
              <w:top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i/>
                <w:iCs/>
                <w:color w:val="000000"/>
                <w:sz w:val="18"/>
                <w:szCs w:val="18"/>
              </w:rPr>
              <w:t>oz3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-0.0292</w:t>
            </w:r>
            <w:r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-0.0068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-0.0231</w:t>
            </w:r>
            <w:r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83" w:type="dxa"/>
            <w:tcBorders>
              <w:top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(-2.4137)</w:t>
            </w:r>
          </w:p>
        </w:tc>
        <w:tc>
          <w:tcPr>
            <w:tcW w:w="1981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(-0.3291)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(-2.1120)</w:t>
            </w:r>
          </w:p>
        </w:tc>
        <w:tc>
          <w:tcPr>
            <w:tcW w:w="1983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(-0.4800)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CVs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1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3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_cons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0.2199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1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0.2083</w:t>
            </w:r>
            <w:r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0.2261</w:t>
            </w:r>
            <w:r>
              <w:rPr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83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0.2196</w:t>
            </w:r>
            <w:r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(2.9651)</w:t>
            </w:r>
          </w:p>
        </w:tc>
        <w:tc>
          <w:tcPr>
            <w:tcW w:w="1981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(2.0860)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(3.1473)</w:t>
            </w:r>
          </w:p>
        </w:tc>
        <w:tc>
          <w:tcPr>
            <w:tcW w:w="1983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(2.2515)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Year fe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1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3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tcBorders>
              <w:bottom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Industry fe</w:t>
            </w:r>
          </w:p>
        </w:tc>
        <w:tc>
          <w:tcPr>
            <w:tcW w:w="1984" w:type="dxa"/>
            <w:tcBorders>
              <w:bottom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1" w:type="dxa"/>
            <w:tcBorders>
              <w:bottom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4" w:type="dxa"/>
            <w:tcBorders>
              <w:bottom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tcBorders>
              <w:top w:val="single" w:color="000000" w:sz="4" w:space="0"/>
            </w:tcBorders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4" w:type="dxa"/>
            <w:tcBorders>
              <w:top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1981" w:type="dxa"/>
            <w:tcBorders>
              <w:top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1984" w:type="dxa"/>
            <w:tcBorders>
              <w:top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1983" w:type="dxa"/>
            <w:tcBorders>
              <w:top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r2_a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0.1405</w:t>
            </w:r>
          </w:p>
        </w:tc>
        <w:tc>
          <w:tcPr>
            <w:tcW w:w="1981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0.2873</w:t>
            </w:r>
          </w:p>
        </w:tc>
        <w:tc>
          <w:tcPr>
            <w:tcW w:w="1984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0.1682</w:t>
            </w:r>
          </w:p>
        </w:tc>
        <w:tc>
          <w:tcPr>
            <w:tcW w:w="1983" w:type="dxa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0.2675</w:t>
            </w:r>
          </w:p>
        </w:tc>
      </w:tr>
    </w:tbl>
    <w:p>
      <w:pPr>
        <w:spacing w:line="360" w:lineRule="auto"/>
        <w:rPr>
          <w:szCs w:val="24"/>
        </w:rPr>
      </w:pPr>
    </w:p>
    <w:p>
      <w:pPr>
        <w:spacing w:line="360" w:lineRule="auto"/>
        <w:rPr>
          <w:szCs w:val="24"/>
        </w:rPr>
      </w:pPr>
    </w:p>
    <w:p>
      <w:pPr>
        <w:ind w:left="-1" w:leftChars="-1" w:hanging="1"/>
        <w:rPr>
          <w:rFonts w:ascii="宋体" w:hAnsi="宋体" w:cs="Arial"/>
          <w:b/>
          <w:bCs/>
          <w:color w:val="FF0000"/>
          <w:kern w:val="0"/>
          <w:sz w:val="21"/>
          <w:szCs w:val="21"/>
        </w:rPr>
      </w:pPr>
      <w:bookmarkStart w:id="1" w:name="_Hlk51266279"/>
      <w:r>
        <w:rPr>
          <w:rFonts w:hint="eastAsia" w:ascii="Calibri" w:hAnsi="Calibri" w:cs="Times New Roman"/>
          <w:b/>
          <w:color w:val="FF0000"/>
          <w:sz w:val="21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FF0000"/>
          <w:kern w:val="0"/>
          <w:sz w:val="21"/>
          <w:szCs w:val="21"/>
        </w:rPr>
        <w:t>请务必在研究成果上注明引文和下载附件出处</w:t>
      </w:r>
      <w:r>
        <w:rPr>
          <w:rFonts w:hint="eastAsia" w:ascii="宋体" w:hAnsi="宋体" w:cs="Arial"/>
          <w:color w:val="3C3C3C"/>
          <w:kern w:val="0"/>
          <w:sz w:val="21"/>
          <w:szCs w:val="21"/>
        </w:rPr>
        <w:t>。</w:t>
      </w:r>
    </w:p>
    <w:p>
      <w:pPr>
        <w:widowControl/>
        <w:spacing w:line="450" w:lineRule="atLeast"/>
        <w:ind w:firstLine="400" w:firstLineChars="200"/>
        <w:jc w:val="left"/>
        <w:rPr>
          <w:rFonts w:hint="eastAsia" w:ascii="inherit" w:hAnsi="inherit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Arial"/>
          <w:color w:val="3C3C3C"/>
          <w:kern w:val="0"/>
          <w:sz w:val="21"/>
          <w:szCs w:val="21"/>
        </w:rPr>
        <w:t>引用示例：</w:t>
      </w:r>
    </w:p>
    <w:p>
      <w:pPr>
        <w:rPr>
          <w:rFonts w:ascii="宋体" w:hAnsi="宋体" w:cs="Times New Roman"/>
          <w:sz w:val="21"/>
          <w:szCs w:val="21"/>
        </w:rPr>
      </w:pPr>
    </w:p>
    <w:p>
      <w:pPr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参考文献引用范例：</w:t>
      </w:r>
    </w:p>
    <w:p>
      <w:pPr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[1] 朱军.</w:t>
      </w:r>
      <w:r>
        <w:rPr>
          <w:rFonts w:hint="eastAsia" w:ascii="Calibri" w:hAnsi="Calibri" w:cs="Times New Roman"/>
          <w:sz w:val="21"/>
        </w:rPr>
        <w:t xml:space="preserve"> </w:t>
      </w:r>
      <w:r>
        <w:rPr>
          <w:rFonts w:hint="eastAsia" w:ascii="宋体" w:hAnsi="宋体" w:cs="Times New Roman"/>
          <w:sz w:val="21"/>
          <w:szCs w:val="21"/>
        </w:rPr>
        <w:t>技术吸收、政府推动与中国全要素生产率提升[J].中国工业经济.2017,(1):5-24.</w:t>
      </w:r>
    </w:p>
    <w:p>
      <w:pPr>
        <w:rPr>
          <w:rFonts w:ascii="宋体" w:hAnsi="宋体" w:cs="Times New Roman"/>
          <w:sz w:val="21"/>
          <w:szCs w:val="21"/>
        </w:rPr>
      </w:pPr>
    </w:p>
    <w:p>
      <w:pPr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如果研究中使用了未在《中国工业经济》纸质版刊发、但在杂志网站上正式公开发表的数字内容（包括数据、程序、附录文件），请务必在研究成果正文中注明：</w:t>
      </w:r>
    </w:p>
    <w:p>
      <w:pPr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数据（及程序等附件）来自朱军（2017），参见在《中国工业经济》网站（http://www.ciejournal.org）附件下载。</w:t>
      </w:r>
    </w:p>
    <w:bookmarkEnd w:id="1"/>
    <w:p>
      <w:pPr>
        <w:spacing w:line="360" w:lineRule="auto"/>
        <w:rPr>
          <w:rFonts w:hint="eastAsia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AndChars" w:linePitch="357" w:charSpace="-2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237770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  <w:b w:val="0"/>
        <w:i w:val="0"/>
        <w:caps w:val="0"/>
        <w:spacing w:val="0"/>
        <w:w w:val="100"/>
        <w:sz w:val="21"/>
      </w:rPr>
      <w:t>杜勇</w:t>
    </w:r>
    <w:r>
      <w:rPr>
        <w:rFonts w:hint="eastAsia"/>
        <w:b w:val="0"/>
        <w:i w:val="0"/>
        <w:caps w:val="0"/>
        <w:spacing w:val="0"/>
        <w:w w:val="100"/>
        <w:sz w:val="21"/>
        <w:lang w:val="en-US" w:eastAsia="zh-CN"/>
      </w:rPr>
      <w:t>等：</w:t>
    </w:r>
    <w:r>
      <w:rPr>
        <w:rFonts w:hint="eastAsia"/>
        <w:b w:val="0"/>
        <w:i w:val="0"/>
        <w:caps w:val="0"/>
        <w:spacing w:val="0"/>
        <w:w w:val="100"/>
        <w:sz w:val="21"/>
      </w:rPr>
      <w:t>共同机构所有权与企业盈余管理</w:t>
    </w:r>
    <w:r>
      <w:rPr>
        <w:rFonts w:hint="eastAsia"/>
        <w:b w:val="0"/>
        <w:i w:val="0"/>
        <w:caps w:val="0"/>
        <w:spacing w:val="0"/>
        <w:w w:val="100"/>
        <w:sz w:val="21"/>
        <w:lang w:val="en-US" w:eastAsia="zh-CN"/>
      </w:rPr>
      <w:t xml:space="preserve">                        </w:t>
    </w:r>
    <w:r>
      <w:t xml:space="preserve">  </w:t>
    </w:r>
    <w:bookmarkStart w:id="2" w:name="_Hlk74923799"/>
    <w:bookmarkStart w:id="3" w:name="_Hlk74923246"/>
    <w:r>
      <w:drawing>
        <wp:inline distT="0" distB="0" distL="0" distR="0">
          <wp:extent cx="1276350" cy="2000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/>
      </w:rPr>
      <w:t>20</w:t>
    </w:r>
    <w:r>
      <w:rPr>
        <w:rFonts w:hint="eastAsia" w:ascii="宋体" w:hAnsi="宋体"/>
      </w:rPr>
      <w:t>2</w:t>
    </w:r>
    <w:r>
      <w:rPr>
        <w:rFonts w:ascii="宋体" w:hAnsi="宋体"/>
      </w:rPr>
      <w:t>1</w:t>
    </w:r>
    <w:r>
      <w:rPr>
        <w:rFonts w:hint="eastAsia" w:ascii="宋体" w:hAnsi="宋体"/>
      </w:rPr>
      <w:t>年第</w:t>
    </w:r>
    <w:r>
      <w:rPr>
        <w:rFonts w:ascii="宋体" w:hAnsi="宋体"/>
      </w:rPr>
      <w:t>6</w:t>
    </w:r>
    <w:r>
      <w:rPr>
        <w:rFonts w:hint="eastAsia" w:ascii="宋体" w:hAnsi="宋体"/>
      </w:rPr>
      <w:t>期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15"/>
  <w:drawingGridVerticalSpacing w:val="17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94"/>
    <w:rsid w:val="00067329"/>
    <w:rsid w:val="00103937"/>
    <w:rsid w:val="00105705"/>
    <w:rsid w:val="001E6CF5"/>
    <w:rsid w:val="0021796D"/>
    <w:rsid w:val="002A6CA9"/>
    <w:rsid w:val="002C356B"/>
    <w:rsid w:val="00324452"/>
    <w:rsid w:val="00350C37"/>
    <w:rsid w:val="00363583"/>
    <w:rsid w:val="00371EBD"/>
    <w:rsid w:val="0039342B"/>
    <w:rsid w:val="003B7C13"/>
    <w:rsid w:val="003F7394"/>
    <w:rsid w:val="00427964"/>
    <w:rsid w:val="00435EDE"/>
    <w:rsid w:val="004C6DA0"/>
    <w:rsid w:val="004F3707"/>
    <w:rsid w:val="005817EF"/>
    <w:rsid w:val="006409DC"/>
    <w:rsid w:val="00720309"/>
    <w:rsid w:val="00753EA8"/>
    <w:rsid w:val="007F1F84"/>
    <w:rsid w:val="00892693"/>
    <w:rsid w:val="00923980"/>
    <w:rsid w:val="00927D4E"/>
    <w:rsid w:val="00966FC8"/>
    <w:rsid w:val="00A43DD8"/>
    <w:rsid w:val="00BC7932"/>
    <w:rsid w:val="00BD6927"/>
    <w:rsid w:val="00BE4BF5"/>
    <w:rsid w:val="00C96C0F"/>
    <w:rsid w:val="00CA5E75"/>
    <w:rsid w:val="00CC6A1C"/>
    <w:rsid w:val="00D2120F"/>
    <w:rsid w:val="00EC538E"/>
    <w:rsid w:val="00FD69A8"/>
    <w:rsid w:val="09380131"/>
    <w:rsid w:val="106D3CFD"/>
    <w:rsid w:val="28507D3D"/>
    <w:rsid w:val="32C64A66"/>
    <w:rsid w:val="38433CFB"/>
    <w:rsid w:val="40A37A91"/>
    <w:rsid w:val="47EF7FAE"/>
    <w:rsid w:val="4968609D"/>
    <w:rsid w:val="4ABA2D01"/>
    <w:rsid w:val="4EDD00C0"/>
    <w:rsid w:val="56255774"/>
    <w:rsid w:val="59ED7A1C"/>
    <w:rsid w:val="5B4641F0"/>
    <w:rsid w:val="6176742D"/>
    <w:rsid w:val="64C6473C"/>
    <w:rsid w:val="673F48F4"/>
    <w:rsid w:val="6BF66D97"/>
    <w:rsid w:val="6C3213BC"/>
    <w:rsid w:val="70A44602"/>
    <w:rsid w:val="741B2E62"/>
    <w:rsid w:val="761D2EB8"/>
    <w:rsid w:val="79F7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2382</Words>
  <Characters>8151</Characters>
  <Lines>67</Lines>
  <Paragraphs>21</Paragraphs>
  <TotalTime>0</TotalTime>
  <ScaleCrop>false</ScaleCrop>
  <LinksUpToDate>false</LinksUpToDate>
  <CharactersWithSpaces>10512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2021-06-06T08:48:00Z</dcterms:created>
  <dc:creator>deng xu</dc:creator>
  <cp:lastModifiedBy>木婉</cp:lastModifiedBy>
  <dcterms:modified xsi:type="dcterms:W3CDTF">2021-06-21T12:39:44Z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5A6412C96D31464992D77C340FFFC1E1</vt:lpwstr>
  </property>
</Properties>
</file>