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24"/>
          <w:szCs w:val="24"/>
          <w:lang w:val="en-US" w:eastAsia="zh-CN"/>
        </w:rPr>
      </w:pPr>
      <w:r>
        <w:rPr>
          <w:rFonts w:hint="eastAsia" w:ascii="宋体" w:hAnsi="宋体" w:eastAsia="宋体" w:cs="宋体"/>
          <w:b/>
          <w:bCs/>
          <w:sz w:val="28"/>
          <w:szCs w:val="28"/>
          <w:lang w:val="en-US" w:eastAsia="zh-CN"/>
        </w:rPr>
        <w:t>讨论总结</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讨论参与情况：截至6.14有22位同学进行提问，每条提问都进行了回答，总计44条评论。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同学们针对本次汇报的内容提出的问题主要聚焦在四个方面，指标与数据选取、文章逻辑、模型构建与可能的补充点。在讨论总结中，我把同学们的问题集中并且分配到以下四个部分进行介绍，相同的问题没有重复列示，部分问题又做了补充分析。</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（一）指标选取</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在指标与数据选取方面的问题最多。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1.ECPM指标意义（行业内竞争）</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原文中表述为构建超额价格—成本边际（EPCM）反映行业内各上市公司间竞争程度，等于上市公司价格—成本边际（PCM）减去行业 PCM 均值，PCM 等于折旧及息税前利润除以销售额，该值越大说明同行间竞争程度越低。设置行业间企业竞争的虚拟变量 DEPCM，当EPCM 小于中位数时取 1，大于取 0。</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就我的理解，</w:t>
      </w:r>
      <w:r>
        <w:rPr>
          <w:rFonts w:hint="default" w:ascii="宋体" w:hAnsi="宋体" w:eastAsia="宋体" w:cs="宋体"/>
          <w:sz w:val="24"/>
          <w:szCs w:val="24"/>
          <w:lang w:val="en-US" w:eastAsia="zh-CN"/>
        </w:rPr>
        <w:t>EPCM衡量了该公司对上下游企业的定价能力，可以反映企业在行业间的话语权，这个指标的值越大说明企业获取利益的能力越高，面对的竞争越低，这里减去的行业均值就是减去同行业的均值（市值加权）</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2.NET指标意义（退出威胁）</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退出威胁NET指标是股票流动性与共同机构投资者竞争程度乘积来表示，股票流动性越高，股东手里的股票越能够出手，退出威胁更容易实现。CIC 衡量的是共同机构投资者的竞争能力，也能够体现机构投资者对上市公司的控股水平和治理能力，指标数值越高，机构投资者话语权越大，对上市公司影响越大，此时共同机构投资者退出对上市公司和其股票而言，负面影响更大，此时上市公司顾及共同机构投资者的退出而减少盈余管理水平。</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3.为什么构建变量都在季度数据的基础上进行处理，稳健性检验中为什么要用第四季度数据构建共同机构所有权指标？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不同种类机构投资者持股时间不同，许多短期机构投资者只会持有一个季度，文章也在机构异质性检验中分样本将长短期机构投资者分开检验。并且不同的季度企业盈余管理动机不同，例如第四季度上市公司有更大动机进行盈余管理。</w:t>
      </w:r>
      <w:r>
        <w:rPr>
          <w:rFonts w:hint="eastAsia" w:ascii="宋体" w:hAnsi="宋体" w:eastAsia="宋体" w:cs="宋体"/>
          <w:sz w:val="24"/>
          <w:szCs w:val="24"/>
          <w:lang w:val="en-US" w:eastAsia="zh-CN"/>
        </w:rPr>
        <w:t>同时</w:t>
      </w:r>
      <w:r>
        <w:rPr>
          <w:rFonts w:hint="default" w:ascii="宋体" w:hAnsi="宋体" w:eastAsia="宋体" w:cs="宋体"/>
          <w:sz w:val="24"/>
          <w:szCs w:val="24"/>
          <w:lang w:val="en-US" w:eastAsia="zh-CN"/>
        </w:rPr>
        <w:t>因为上市公司第四季度进行盈余管理动机更强，也许存在共同机构投资者协同治理失效的情况，作者为了验证这个猜测针对第四季度进行检验。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4.共同机构所有权同行业势力指标（Coz_ power）的构建只考虑每个上市公司所有共同机构投资者持股的同行业上市公司的个数，似乎不够严谨准确，若加入持股比例构建这个指标是否更加合理？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我比较赞同这位同学的</w:t>
      </w:r>
      <w:r>
        <w:rPr>
          <w:rFonts w:hint="default" w:ascii="宋体" w:hAnsi="宋体" w:eastAsia="宋体" w:cs="宋体"/>
          <w:sz w:val="24"/>
          <w:szCs w:val="24"/>
          <w:lang w:val="en-US" w:eastAsia="zh-CN"/>
        </w:rPr>
        <w:t>观点，同行业势力指标仅用公司个数确实不严谨.可以考虑用持股比例衡量。作者也许是出于数据获取或者指标构建的考虑选择运用公司个数衡量同行业势力</w:t>
      </w:r>
      <w:r>
        <w:rPr>
          <w:rFonts w:hint="eastAsia" w:ascii="宋体" w:hAnsi="宋体" w:eastAsia="宋体" w:cs="宋体"/>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5.控制变量中盈余管理柔性是怎么衡量的？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 xml:space="preserve">盈余管理柔性是指不仅强调对企业现金流和利润的把控，还注重对企业负债与风险的把控，文章并没有对盈余管理柔性的指标进行详细的说明，通过查阅相关资料加上我自己的理解认为这个指标有可能是通过现金柔性和负债融资柔性之和来衡量企业进行盈余管理行为的“顾虑”。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6.真实的盈余管理指标REM是如何计算的？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真实盈余管理是企业管理者通过构造真实交易活动或控制企业相关活动的发生时间，调节操控企业对外披露的会计盈余的盈余管理活动。一般来说REM是通过异常经营活动现金流，异常费用和异常产品成本三个分指标来计量（Roychowdhury(2006)）具体来说就是先分年度和行业回归估算出正常的三个分指标，再用公司实际值减去预期值，差额是异常值。</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7.内生性检验的工具变量法部分，用是否属于沪深300指数一级指数成分股的增减来替代共同机构所有权指标，这个逻辑可以简单解释一下吗</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本文借鉴 Gao et al.（2019）和潘越等（2020）的研究，是否属于沪深 300 指数以及指数成分股的增减变动可能会改变共同机构所有权指标，但并不会对上市公司盈余管理造成直接影响，因为证券交易所成分股的选择并非依据盈余管理程度。</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8.表3为什么选择Coz2作为回归变量，而不是Coz1和Coz3？其中Coz2的回归结果并不显著，这影响机制检验吗？</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表3是验证同行业竞争对于共同机构所有权协同治理的影响，</w:t>
      </w:r>
      <w:r>
        <w:rPr>
          <w:rFonts w:hint="eastAsia" w:ascii="宋体" w:hAnsi="宋体" w:eastAsia="宋体" w:cs="宋体"/>
          <w:sz w:val="24"/>
          <w:szCs w:val="24"/>
          <w:lang w:val="en-US" w:eastAsia="zh-CN"/>
        </w:rPr>
        <w:t>更倾向于验证共同机构所有权的存在给上市公司之间信息交流带来的优势，意在验证共同机构投资者是否可以通过提高同行上市公司之间信息交流效率和资源共享等行为内化行业竞争带来的负外部性从而减少上市公司盈余管理水平。</w:t>
      </w:r>
      <w:r>
        <w:rPr>
          <w:rFonts w:hint="default" w:ascii="宋体" w:hAnsi="宋体" w:eastAsia="宋体" w:cs="宋体"/>
          <w:sz w:val="24"/>
          <w:szCs w:val="24"/>
          <w:lang w:val="en-US" w:eastAsia="zh-CN"/>
        </w:rPr>
        <w:t>研究的是共同机构所有权</w:t>
      </w:r>
      <w:r>
        <w:rPr>
          <w:rFonts w:hint="eastAsia" w:ascii="宋体" w:hAnsi="宋体" w:eastAsia="宋体" w:cs="宋体"/>
          <w:sz w:val="24"/>
          <w:szCs w:val="24"/>
          <w:lang w:val="en-US" w:eastAsia="zh-CN"/>
        </w:rPr>
        <w:t>联结程度</w:t>
      </w:r>
      <w:r>
        <w:rPr>
          <w:rFonts w:hint="default" w:ascii="宋体" w:hAnsi="宋体" w:eastAsia="宋体" w:cs="宋体"/>
          <w:sz w:val="24"/>
          <w:szCs w:val="24"/>
          <w:lang w:val="en-US" w:eastAsia="zh-CN"/>
        </w:rPr>
        <w:t>与盈余管理程度的关系，13衡量的是是否有共同机构所有者和共同机构所有权</w:t>
      </w:r>
      <w:r>
        <w:rPr>
          <w:rFonts w:hint="eastAsia" w:ascii="宋体" w:hAnsi="宋体" w:eastAsia="宋体" w:cs="宋体"/>
          <w:sz w:val="24"/>
          <w:szCs w:val="24"/>
          <w:lang w:val="en-US" w:eastAsia="zh-CN"/>
        </w:rPr>
        <w:t>持股比例</w:t>
      </w:r>
      <w:r>
        <w:rPr>
          <w:rFonts w:hint="default" w:ascii="宋体" w:hAnsi="宋体" w:eastAsia="宋体" w:cs="宋体"/>
          <w:sz w:val="24"/>
          <w:szCs w:val="24"/>
          <w:lang w:val="en-US" w:eastAsia="zh-CN"/>
        </w:rPr>
        <w:t>，因此在这个检验中coz2比较合适。</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（二）文章逻辑</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文章逻辑方面的问题主要包括文章框架，理论逻辑与实证逻辑。</w:t>
      </w:r>
    </w:p>
    <w:p>
      <w:pPr>
        <w:keepNext w:val="0"/>
        <w:keepLines w:val="0"/>
        <w:pageBreakBefore w:val="0"/>
        <w:widowControl w:val="0"/>
        <w:numPr>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1.理论部分的协同治理效应和合谋舞弊效应都有一定的道理，基准回归的系数为负证明了协同治理效应的正确性，那会不会合谋舞弊效应也有作用，但是小于协同治理效应，被抵消了？</w:t>
      </w:r>
    </w:p>
    <w:p>
      <w:pPr>
        <w:keepNext w:val="0"/>
        <w:keepLines w:val="0"/>
        <w:pageBreakBefore w:val="0"/>
        <w:widowControl w:val="0"/>
        <w:numPr>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虽然在基准回归中证明协同治理效应作为主导机制，但是否存在合谋舞弊作用只是被协同治理效应抵消，文章为什么不对这一机制进行检验，我认同他说的合谋舞弊效应肯定存在，但是任何事务都不是非黑即白的，文章主要聚焦在共同机构所有权对企业盈余管理的积极影响，第六部分机制检验细致的从内部外部和具体途径三个方面探究共同机构所有权对企业盈余管理的作用机理，此时如果在去验证合谋舞弊效应可能回降低文章说理清晰度，文章可能出于全文逻辑框架或者篇幅的考虑没有验证这个效应。</w:t>
      </w:r>
    </w:p>
    <w:p>
      <w:pPr>
        <w:keepNext w:val="0"/>
        <w:keepLines w:val="0"/>
        <w:pageBreakBefore w:val="0"/>
        <w:widowControl w:val="0"/>
        <w:numPr>
          <w:numId w:val="0"/>
        </w:numPr>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2.可以简单概括一下共同机构所有权的概念吗？还有共同机构所有权联合程度为什么要加1取对数？</w:t>
      </w:r>
    </w:p>
    <w:p>
      <w:pPr>
        <w:keepNext w:val="0"/>
        <w:keepLines w:val="0"/>
        <w:pageBreakBefore w:val="0"/>
        <w:widowControl w:val="0"/>
        <w:numPr>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共同机构所有权就是原来持股不同企业的几家机构投资者在并购成一家之后，导致同一机构投资者持有多家企业股份的现象。共同机构所有权联结程度对数化处理可能是为了压缩变量尺度 使数据更加平稳，削弱模型的共线性与异方差性。</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3.想问一下拓展性研究中，关于产权性质的影响中说国有企业的盈余管理动机更强是有文献支撑的吗？因为我直观感觉的话，国有企业不是会计稳健性应该相对更高一点，从而盈余管理动机弱些吗？</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国有企业营运管理动机更强是有文献里支撑的，部分学者发现国有企业的盈余管理行为与资本市场动机，政治动机与声誉动机直接相关（张琦，2019）并且，国有企业的管理层防御问题相比于非国有企业更为严重都会这一现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sz w:val="24"/>
          <w:szCs w:val="24"/>
          <w:lang w:val="en-US" w:eastAsia="zh-CN"/>
        </w:rPr>
        <w:t>4.</w:t>
      </w:r>
      <w:r>
        <w:rPr>
          <w:rFonts w:hint="eastAsia" w:ascii="宋体" w:hAnsi="宋体" w:eastAsia="宋体" w:cs="宋体"/>
          <w:color w:val="auto"/>
          <w:sz w:val="24"/>
          <w:szCs w:val="24"/>
          <w:lang w:val="en-US" w:eastAsia="zh-CN"/>
        </w:rPr>
        <w:t>本文的经济后果检验能否再解释一下，比如权威机构认可方面，如果说共同机构所有权通过降低盈余管理实现考评等级的提高，那这个交乘项的系数是不是应该为负？后面的审计收费系数是不是应该为正（负负得正）？</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在基准回归里coz2和DA1之间的关系是显著为负的，也就是共同机构所有权会显著降低企业盈余管理，企业盈余管理水平又与评级负相关，文中对COZ2以及交乘项检验，最终检验表明共同机构所有权会提高上市公司考评等级，具体来说是coz会抑制盈余管理水平来提高考评登记，对于DA1来说是负负得正的意思在，所以交乘项的系数为正，审计费用同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（三）模型构建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1.扩展的Jones模型、修正的Jones模型以及真实盈余管理作为被解释变量，三者的构建原理以及在实际应用上有什么不同呢？</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修正的Jones模型是在Jones模型基础上对非操纵性应计盈余进行调整，扩展的Jones模型是在计量总应计利润时扣除了资产减值准备对盈余的影响，在修正的模型基础上考虑了无形资产对盈余管理的影响。对于中国资本市场而言，改进后的扩展模型对检验盈余管理的效果更为显著。真实盈余管理是企业管理者通过构造真实交易活动或控制企业相关活动的发生时间，调节操控企业对外披露的会计盈余的盈余管理活动，相对于上述应计盈余管理而言，真实盈余管理活动不仅影响各期盈余还会影响各期实际现金流量，对企业实际经营活动产生消极影响。</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2.在内生性检验的heckman两阶段模型中，probit模型中检验上一期的上市公司特征变量，为什么下标还是t？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下标还是t可能是因为机构投资者只能在t期获取其上一期的特征变量，文章也对控制变量进行了滞后处理。第二个问题，因为上市公司第四季度进行盈余管理动机更强，也许存在共同机构投资者协同治理失效的情况，作者为了验证这个猜测针对第四季度进行检验。</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（四）可能的补充和不足</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最后一个部分文章可能的补充与不足，在本文基准回归解释部分，作者直接在文字列示中把回归结果估计系数-0.048描述成-0.01，可能不太谨慎，我在模仿论文的过程中，对这一部分进行了修改。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有两位同学都提出短期共同机构投资者与长期共同机构投资者持股动机不同交易不同，是否会导致不同的经济后果，我认同并且接受了同学们的建议和讨论，在改写部分，专门以长</w:t>
      </w:r>
      <w:bookmarkStart w:id="0" w:name="_GoBack"/>
      <w:bookmarkEnd w:id="0"/>
      <w:r>
        <w:rPr>
          <w:rFonts w:hint="eastAsia" w:ascii="宋体" w:hAnsi="宋体" w:eastAsia="宋体" w:cs="宋体"/>
          <w:sz w:val="24"/>
          <w:szCs w:val="24"/>
          <w:lang w:val="en-US" w:eastAsia="zh-CN"/>
        </w:rPr>
        <w:t>期共同机构投资者为样本，研究其影响企业盈余管理的机制，详细改写内容总结见附件“撰写总结”。</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PingFang SC">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6"/>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FmYTJlYmYzMTA2ZThmMTA3NmVkNTFkMTQ5OWVhOTgifQ=="/>
  </w:docVars>
  <w:rsids>
    <w:rsidRoot w:val="4409234C"/>
    <w:rsid w:val="4409234C"/>
    <w:rsid w:val="546015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766</Words>
  <Characters>780</Characters>
  <Lines>0</Lines>
  <Paragraphs>0</Paragraphs>
  <TotalTime>8</TotalTime>
  <ScaleCrop>false</ScaleCrop>
  <LinksUpToDate>false</LinksUpToDate>
  <CharactersWithSpaces>780</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2022-06-21T12:38:00Z</dcterms:created>
  <dc:creator>qzuser</dc:creator>
  <cp:lastModifiedBy>qzuser</cp:lastModifiedBy>
  <dcterms:modified xsi:type="dcterms:W3CDTF">2022-06-23T11:48:50Z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B7C02746B1524269996ABDE4FF781B27</vt:lpwstr>
  </property>
</Properties>
</file>