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撰写总结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文中共同机构所有权的数据都是由作者手工收集，工作量大，且作者在附件中未披露最初始的数据，重新构建指标也存在困难，因此我在改写过程中放弃了更新数据、增添数据与替换指标的方法，只是在作者公布的数据基础上进行改写。文章改写部分主要聚焦在分样本讨论中，原文主要探讨共同机构所有权对企业应计盈余管理的影响分析，探讨会计信息质量方面的内容，更倾向共同机构所有权是否可以提高上市公司披露财报的真实准确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一、讨论处理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同学们针对</w:t>
      </w:r>
      <w:r>
        <w:rPr>
          <w:rFonts w:hint="eastAsia" w:ascii="Times New Roman" w:hAnsi="Times New Roman" w:cs="Times New Roman"/>
          <w:sz w:val="24"/>
          <w:szCs w:val="32"/>
          <w:lang w:val="en-US" w:eastAsia="zh-CN"/>
        </w:rPr>
        <w:t>我</w:t>
      </w:r>
      <w:r>
        <w:rPr>
          <w:rFonts w:hint="default" w:ascii="Times New Roman" w:hAnsi="Times New Roman" w:cs="Times New Roman"/>
          <w:sz w:val="24"/>
          <w:szCs w:val="32"/>
          <w:lang w:val="en-US" w:eastAsia="zh-CN"/>
        </w:rPr>
        <w:t>本次汇报的内容提出的问题主要聚焦在四个方面，指标与数据选取、文章逻辑、模型构建与可能的补充点。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首先有同学提出作者在对基准回归结果进行分析时对估计系数的提法不准确，我在模仿论文的过程中直接修改了这部分的论述。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两位同学都提出短期共同机构投资者与长期共同机构投资者持股动机不同交易不同，是否会导致不同的经济后果，我认同并且接受了同学们的建议和讨论，在改写部分，专门以长期共同机构投资者为样本，研究其影响企业盈余管理的机制与长期共同机构投资者对企业真实盈余管理影响所产生的经济后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二、改写部分总结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我将文章改写部分总结成单独的一章内容，补充在模仿论文中第八章节“可能的补充部分”。改写部分主要分为四个方面：共同机构所有权对企业真实盈余管理影响、共同机构投机者异质性对真实盈余管理影响、</w:t>
      </w:r>
      <w:r>
        <w:rPr>
          <w:rFonts w:hint="default" w:ascii="Times New Roman" w:hAnsi="Times New Roman" w:cs="Times New Roman"/>
          <w:sz w:val="24"/>
          <w:szCs w:val="32"/>
          <w:lang w:val="en-US" w:eastAsia="zh-CN"/>
        </w:rPr>
        <w:t>经济后果</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1.改写部分构思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考虑到长短期共同机构投资者持股动机不同，对企业盈余管理的影响存在差异。原文在扩展性分析中简单分析了这方面内容，并且得出只有长期共同机构投资者才可以有效抑制企业盈余管理，短期共同机构投资者不会产生显著影响的结论。改写部分试图从这一角度出发，深入探讨其作用机制与产生的经济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原文在稳健性检验中运用真实盈余管理rem替换被解释变量DA1与DA2，简单分析共同机构所有权对企业真实盈余管理的影响，但是应计盈余管理与企业真实盈余管理存在很大差异，例如真实盈余管理可能会对企业未来的盈利能力与营运能力产生较大的消极影响，而应计盈余管理产生的影响主要表现在会计稳健性上，不会对企业实际运营造成较大影响。改写部分也希望进一步研究共同机构投资者对企业真实盈余管理产生的影响与带来的经济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2.改写部分具体总结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36"/>
          <w:lang w:val="en-US" w:eastAsia="zh-CN"/>
        </w:rPr>
      </w:pPr>
      <w:r>
        <w:rPr>
          <w:rFonts w:hint="default" w:ascii="Times New Roman" w:hAnsi="Times New Roman" w:cs="Times New Roman"/>
          <w:sz w:val="24"/>
          <w:szCs w:val="36"/>
          <w:lang w:val="en-US" w:eastAsia="zh-CN"/>
        </w:rPr>
        <w:t>共同机构所有权不仅可以提高企业会计信息稳健性，还可以显著抑制企业真实盈余管理行为</w:t>
      </w:r>
      <w:r>
        <w:rPr>
          <w:rFonts w:hint="eastAsia" w:ascii="Times New Roman" w:hAnsi="Times New Roman" w:cs="Times New Roman"/>
          <w:sz w:val="24"/>
          <w:szCs w:val="36"/>
          <w:lang w:val="en-US" w:eastAsia="zh-CN"/>
        </w:rPr>
        <w:t>，并且在剔除了只有短期共同机构投资者持股的样本之后，这种抑制作用更明显。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6"/>
          <w:lang w:val="en-US" w:eastAsia="zh-CN"/>
        </w:rPr>
      </w:pPr>
      <w:r>
        <w:rPr>
          <w:rFonts w:hint="eastAsia" w:ascii="Times New Roman" w:hAnsi="Times New Roman" w:cs="Times New Roman"/>
          <w:sz w:val="24"/>
          <w:szCs w:val="36"/>
          <w:lang w:val="en-US" w:eastAsia="zh-CN"/>
        </w:rPr>
        <w:t>机制检验报告中机构协同效应结果表明长期</w:t>
      </w:r>
      <w:r>
        <w:rPr>
          <w:rFonts w:hint="default" w:ascii="Times New Roman" w:hAnsi="Times New Roman" w:cs="Times New Roman"/>
          <w:sz w:val="24"/>
          <w:szCs w:val="32"/>
          <w:lang w:val="en-US" w:eastAsia="zh-CN"/>
        </w:rPr>
        <w:t>共同机构投资者的同行业势力越大，越能放大其对上市公司的协同治理效应，促进同行业上市公司之间的资源共享与有效协作</w:t>
      </w:r>
      <w:r>
        <w:rPr>
          <w:rFonts w:hint="eastAsia" w:ascii="Times New Roman" w:hAnsi="Times New Roman" w:cs="Times New Roman"/>
          <w:sz w:val="24"/>
          <w:szCs w:val="32"/>
          <w:lang w:val="en-US" w:eastAsia="zh-CN"/>
        </w:rPr>
        <w:t>，行业内竞争的促进作用有所下降；监督治理效应表明</w:t>
      </w:r>
      <w:r>
        <w:rPr>
          <w:rFonts w:hint="default" w:ascii="Times New Roman" w:hAnsi="Times New Roman" w:cs="Times New Roman"/>
          <w:sz w:val="24"/>
          <w:szCs w:val="36"/>
          <w:lang w:val="en-US" w:eastAsia="zh-CN"/>
        </w:rPr>
        <w:t>共同机构所有权会通过放大对企业间信息获取的作用管理企业应计盈余管理行为，也就是说长期共同机构投资者更加擅长运用同行业上市企业间信息去抑制企业盈余管理</w:t>
      </w:r>
      <w:r>
        <w:rPr>
          <w:rFonts w:hint="eastAsia" w:ascii="Times New Roman" w:hAnsi="Times New Roman" w:cs="Times New Roman"/>
          <w:sz w:val="24"/>
          <w:szCs w:val="36"/>
          <w:lang w:val="en-US" w:eastAsia="zh-CN"/>
        </w:rPr>
        <w:t>，退出威胁起到的作用不及全样本回归结果。具体途径探寻结果表明</w:t>
      </w:r>
      <w:r>
        <w:rPr>
          <w:rFonts w:hint="default" w:ascii="Times New Roman" w:hAnsi="Times New Roman" w:cs="Times New Roman"/>
          <w:sz w:val="24"/>
          <w:szCs w:val="36"/>
          <w:lang w:val="en-US" w:eastAsia="zh-CN"/>
        </w:rPr>
        <w:t>长期共同机构所有权向委派董监高和董事的数目明显上升，并且董监高和董事的存在对企业应计盈余管理表现更强的抑制作用</w:t>
      </w:r>
      <w:r>
        <w:rPr>
          <w:rFonts w:hint="eastAsia" w:ascii="Times New Roman" w:hAnsi="Times New Roman" w:cs="Times New Roman"/>
          <w:sz w:val="24"/>
          <w:szCs w:val="36"/>
          <w:lang w:val="en-US" w:eastAsia="zh-CN"/>
        </w:rPr>
        <w:t>，但是在</w:t>
      </w:r>
      <w:r>
        <w:rPr>
          <w:rFonts w:hint="default" w:ascii="Times New Roman" w:hAnsi="Times New Roman" w:cs="Times New Roman"/>
          <w:sz w:val="24"/>
          <w:szCs w:val="36"/>
          <w:lang w:val="en-US" w:eastAsia="zh-CN"/>
        </w:rPr>
        <w:t>长期共同机构投资者对企业真实盈余管理的作用中，委派董监高和委派董事的途径不成立。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经济后果方面，</w:t>
      </w:r>
      <w:r>
        <w:rPr>
          <w:rFonts w:hint="default" w:ascii="Times New Roman" w:hAnsi="Times New Roman" w:cs="Times New Roman"/>
          <w:sz w:val="24"/>
          <w:szCs w:val="32"/>
          <w:lang w:val="en-US" w:eastAsia="zh-CN"/>
        </w:rPr>
        <w:t>共同机构所有权的存在提高了深圳证券交易对上市公司的考评等级，而这种提高可以通过降低应计盈余管理和真实盈余管理得以实现。</w:t>
      </w:r>
      <w:r>
        <w:rPr>
          <w:rFonts w:hint="eastAsia" w:ascii="Times New Roman" w:hAnsi="Times New Roman" w:cs="Times New Roman"/>
          <w:sz w:val="24"/>
          <w:szCs w:val="32"/>
          <w:lang w:val="en-US" w:eastAsia="zh-CN"/>
        </w:rPr>
        <w:t>且</w:t>
      </w:r>
      <w:r>
        <w:rPr>
          <w:rFonts w:hint="default" w:ascii="Times New Roman" w:hAnsi="Times New Roman" w:cs="Times New Roman"/>
          <w:sz w:val="24"/>
          <w:szCs w:val="32"/>
          <w:lang w:val="en-US" w:eastAsia="zh-CN"/>
        </w:rPr>
        <w:t>共同机构所有权</w:t>
      </w:r>
      <w:r>
        <w:rPr>
          <w:rFonts w:hint="eastAsia" w:ascii="Times New Roman" w:hAnsi="Times New Roman" w:cs="Times New Roman"/>
          <w:sz w:val="24"/>
          <w:szCs w:val="32"/>
          <w:lang w:val="en-US" w:eastAsia="zh-CN"/>
        </w:rPr>
        <w:t>对企业真实盈余管理的抑制作用不会带来审计收费的降低，因为在原文分析中</w:t>
      </w:r>
      <w:r>
        <w:rPr>
          <w:rFonts w:hint="default" w:ascii="Times New Roman" w:hAnsi="Times New Roman" w:cs="Times New Roman"/>
          <w:sz w:val="24"/>
          <w:szCs w:val="32"/>
          <w:lang w:val="en-US" w:eastAsia="zh-CN"/>
        </w:rPr>
        <w:t>上市公司共同机构所有权对应计盈余管理的协同治理提高了信息披露质量，提高财务报告信息质量从而降低了审计难度，减少了审计收费，而他对真实盈余管理的影响不会直接影响到审计难度，自然不会显著影响审计收费</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8"/>
          <w:szCs w:val="36"/>
          <w:lang w:val="en-US" w:eastAsia="zh-CN"/>
        </w:rPr>
      </w:pPr>
      <w:bookmarkStart w:id="0" w:name="_GoBack"/>
      <w:bookmarkEnd w:id="0"/>
      <w:r>
        <w:rPr>
          <w:rFonts w:hint="eastAsia" w:ascii="黑体" w:hAnsi="黑体" w:eastAsia="黑体" w:cs="黑体"/>
          <w:sz w:val="28"/>
          <w:szCs w:val="36"/>
          <w:lang w:val="en-US" w:eastAsia="zh-CN"/>
        </w:rPr>
        <w:t>三、改写部分未实现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1.讨论部分未处理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有同学提出ST公司盈余管理动机更大，建议剔除这部分样本，但是我在观察作者公布的数据时发现数据并没有给出是否ST的信息，并且作者公布的数据不是最初始的数据，看不出每个上市公司的名称，对这一点没有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cs="Times New Roman"/>
          <w:sz w:val="24"/>
          <w:szCs w:val="32"/>
          <w:lang w:val="en-US" w:eastAsia="zh-CN"/>
        </w:rPr>
        <w:t>有同学提出coz power衡量</w:t>
      </w:r>
      <w:r>
        <w:rPr>
          <w:rFonts w:hint="eastAsia" w:ascii="宋体" w:hAnsi="宋体" w:eastAsia="宋体" w:cs="宋体"/>
          <w:sz w:val="24"/>
          <w:szCs w:val="24"/>
          <w:lang w:val="en-US" w:eastAsia="zh-CN"/>
        </w:rPr>
        <w:t>共同机构所有权同行业势力指标的构建只考虑每个上市公司所有共同机构投资者持股的同行业上市公司的个数不够严谨准确，是否应该加入持股比例构建这个指标。由于共同机构所有权的相关数据都是由作者进行手工收集，可能是由于公开的信息有限或者工作量太大导致作者没有用持股比例来衡量这一指标，我也无法获取这部分数据，对这一建议没有进行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2.改写部分存在的问题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因为没有更改添加数据，我只在作者公布的数据上进行补充，改写部分运用的数据和指标可能不够完善不合适，理论与实际连接的不强。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因为作者在划分长短期共同机构投资者时，样本总量远小于基准回归中的数值，我在改写时更改了对长短期共同机构投资者的界定与赋值方法，对回归结果可能存在一定影响。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YTJlYmYzMTA2ZThmMTA3NmVkNTFkMTQ5OWVhOTgifQ=="/>
  </w:docVars>
  <w:rsids>
    <w:rsidRoot w:val="5C583764"/>
    <w:rsid w:val="5B1A1663"/>
    <w:rsid w:val="5C58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1361</Words>
  <Characters>1379</Characters>
  <Lines>0</Lines>
  <Paragraphs>0</Paragraphs>
  <TotalTime>1</TotalTime>
  <ScaleCrop>false</ScaleCrop>
  <LinksUpToDate>false</LinksUpToDate>
  <CharactersWithSpaces>1380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2022-06-24T04:33:00Z</dcterms:created>
  <dc:creator>qzuser</dc:creator>
  <cp:lastModifiedBy>qzuser</cp:lastModifiedBy>
  <dcterms:modified xsi:type="dcterms:W3CDTF">2022-06-24T10:09:42Z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35B11A93A71E4F14A0068C92C4D40986</vt:lpwstr>
  </property>
</Properties>
</file>