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气候变化带来的金融风险及其监管</w:t>
      </w:r>
    </w:p>
    <w:sdt>
      <w:sdtPr>
        <w:rPr>
          <w:rFonts w:hint="eastAsia" w:ascii="黑体" w:hAnsi="黑体" w:eastAsia="黑体" w:cs="黑体"/>
          <w:kern w:val="2"/>
          <w:sz w:val="32"/>
          <w:szCs w:val="40"/>
          <w:lang w:val="en-US" w:eastAsia="zh-CN" w:bidi="ar-SA"/>
        </w:rPr>
        <w:id w:val="147482687"/>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p>
        <w:p>
          <w:pPr>
            <w:pStyle w:val="6"/>
            <w:keepNext w:val="0"/>
            <w:keepLines w:val="0"/>
            <w:pageBreakBefore w:val="0"/>
            <w:tabs>
              <w:tab w:val="right" w:leader="dot" w:pos="8306"/>
            </w:tabs>
            <w:kinsoku/>
            <w:wordWrap/>
            <w:overflowPunct/>
            <w:topLinePunct w:val="0"/>
            <w:autoSpaceDE/>
            <w:autoSpaceDN/>
            <w:bidi w:val="0"/>
            <w:adjustRightInd/>
            <w:snapToGrid/>
            <w:spacing w:line="480" w:lineRule="auto"/>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"1-1" \h \u </w:instrText>
          </w:r>
          <w:r>
            <w:rPr>
              <w:rFonts w:hint="eastAsia" w:ascii="黑体" w:hAnsi="黑体" w:eastAsia="黑体" w:cs="黑体"/>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_Toc17630 </w:instrText>
          </w:r>
          <w:r>
            <w:rPr>
              <w:rFonts w:hint="eastAsia" w:ascii="黑体" w:hAnsi="黑体" w:eastAsia="黑体" w:cs="黑体"/>
              <w:sz w:val="28"/>
              <w:szCs w:val="28"/>
            </w:rPr>
            <w:fldChar w:fldCharType="separate"/>
          </w:r>
          <w:r>
            <w:rPr>
              <w:rFonts w:hint="eastAsia" w:ascii="黑体" w:hAnsi="黑体" w:eastAsia="黑体" w:cs="黑体"/>
              <w:bCs/>
              <w:sz w:val="28"/>
              <w:szCs w:val="48"/>
              <w:lang w:val="en-US" w:eastAsia="zh-CN"/>
            </w:rPr>
            <w:t>一、 气候变化带来的危害现状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_Toc17630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80" w:lineRule="auto"/>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_Toc27205 </w:instrText>
          </w:r>
          <w:r>
            <w:rPr>
              <w:rFonts w:hint="eastAsia" w:ascii="黑体" w:hAnsi="黑体" w:eastAsia="黑体" w:cs="黑体"/>
              <w:sz w:val="28"/>
              <w:szCs w:val="28"/>
            </w:rPr>
            <w:fldChar w:fldCharType="separate"/>
          </w:r>
          <w:r>
            <w:rPr>
              <w:rFonts w:hint="eastAsia" w:ascii="黑体" w:hAnsi="黑体" w:eastAsia="黑体" w:cs="黑体"/>
              <w:bCs/>
              <w:sz w:val="28"/>
              <w:szCs w:val="48"/>
              <w:lang w:val="en-US" w:eastAsia="zh-CN"/>
            </w:rPr>
            <w:t>二、“绿天鹅”事件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_Toc27205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80" w:lineRule="auto"/>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_Toc9622 </w:instrText>
          </w:r>
          <w:r>
            <w:rPr>
              <w:rFonts w:hint="eastAsia" w:ascii="黑体" w:hAnsi="黑体" w:eastAsia="黑体" w:cs="黑体"/>
              <w:sz w:val="28"/>
              <w:szCs w:val="28"/>
            </w:rPr>
            <w:fldChar w:fldCharType="separate"/>
          </w:r>
          <w:r>
            <w:rPr>
              <w:rFonts w:hint="eastAsia" w:ascii="黑体" w:hAnsi="黑体" w:eastAsia="黑体" w:cs="黑体"/>
              <w:bCs/>
              <w:sz w:val="28"/>
              <w:szCs w:val="48"/>
              <w:lang w:val="en-US" w:eastAsia="zh-CN"/>
            </w:rPr>
            <w:t>三、气候变化引发的主要金融风险</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_Toc9622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80" w:lineRule="auto"/>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_Toc6981 </w:instrText>
          </w:r>
          <w:r>
            <w:rPr>
              <w:rFonts w:hint="eastAsia" w:ascii="黑体" w:hAnsi="黑体" w:eastAsia="黑体" w:cs="黑体"/>
              <w:sz w:val="28"/>
              <w:szCs w:val="28"/>
            </w:rPr>
            <w:fldChar w:fldCharType="separate"/>
          </w:r>
          <w:r>
            <w:rPr>
              <w:rFonts w:hint="eastAsia" w:ascii="黑体" w:hAnsi="黑体" w:eastAsia="黑体" w:cs="黑体"/>
              <w:bCs/>
              <w:sz w:val="28"/>
              <w:szCs w:val="72"/>
              <w:lang w:val="en-US" w:eastAsia="zh-CN"/>
            </w:rPr>
            <w:t>三、国内外金融应对气候变化经验与实践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_Toc6981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80" w:lineRule="auto"/>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_Toc1219 </w:instrText>
          </w:r>
          <w:r>
            <w:rPr>
              <w:rFonts w:hint="eastAsia" w:ascii="黑体" w:hAnsi="黑体" w:eastAsia="黑体" w:cs="黑体"/>
              <w:sz w:val="28"/>
              <w:szCs w:val="28"/>
            </w:rPr>
            <w:fldChar w:fldCharType="separate"/>
          </w:r>
          <w:r>
            <w:rPr>
              <w:rFonts w:hint="eastAsia" w:ascii="黑体" w:hAnsi="黑体" w:eastAsia="黑体" w:cs="黑体"/>
              <w:bCs/>
              <w:sz w:val="28"/>
              <w:szCs w:val="52"/>
              <w:lang w:val="en-US" w:eastAsia="zh-CN"/>
            </w:rPr>
            <w:t xml:space="preserve">四、 </w:t>
          </w:r>
          <w:r>
            <w:rPr>
              <w:rFonts w:hint="eastAsia" w:ascii="黑体" w:hAnsi="黑体" w:eastAsia="黑体" w:cs="黑体"/>
              <w:bCs/>
              <w:sz w:val="28"/>
              <w:szCs w:val="52"/>
              <w:highlight w:val="none"/>
              <w:lang w:val="en-US" w:eastAsia="zh-CN"/>
            </w:rPr>
            <w:t>中国央行应对气候风险的政策实践</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_Toc1219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80" w:lineRule="auto"/>
            <w:jc w:val="distribute"/>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_Toc25687 </w:instrText>
          </w:r>
          <w:r>
            <w:rPr>
              <w:rFonts w:hint="eastAsia" w:ascii="黑体" w:hAnsi="黑体" w:eastAsia="黑体" w:cs="黑体"/>
              <w:sz w:val="28"/>
              <w:szCs w:val="28"/>
            </w:rPr>
            <w:fldChar w:fldCharType="separate"/>
          </w:r>
          <w:r>
            <w:rPr>
              <w:rFonts w:hint="eastAsia" w:ascii="黑体" w:hAnsi="黑体" w:eastAsia="黑体" w:cs="黑体"/>
              <w:kern w:val="2"/>
              <w:sz w:val="28"/>
              <w:szCs w:val="40"/>
              <w:lang w:val="en-US" w:eastAsia="zh-CN" w:bidi="ar-SA"/>
            </w:rPr>
            <w:t>五、 经验与启示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_Toc25687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pPr>
            <w:keepNext w:val="0"/>
            <w:keepLines w:val="0"/>
            <w:pageBreakBefore w:val="0"/>
            <w:kinsoku/>
            <w:wordWrap/>
            <w:overflowPunct/>
            <w:topLinePunct w:val="0"/>
            <w:autoSpaceDE/>
            <w:autoSpaceDN/>
            <w:bidi w:val="0"/>
            <w:adjustRightInd/>
            <w:snapToGrid/>
            <w:spacing w:line="480" w:lineRule="auto"/>
            <w:jc w:val="distribute"/>
            <w:textAlignment w:val="auto"/>
            <w:rPr>
              <w:rFonts w:hint="eastAsia"/>
            </w:rPr>
          </w:pPr>
          <w:r>
            <w:rPr>
              <w:rFonts w:hint="eastAsia" w:ascii="黑体" w:hAnsi="黑体" w:eastAsia="黑体" w:cs="黑体"/>
              <w:sz w:val="32"/>
              <w:szCs w:val="40"/>
            </w:rPr>
            <w:fldChar w:fldCharType="end"/>
          </w:r>
        </w:p>
      </w:sdtContent>
    </w:sdt>
    <w:p>
      <w:pPr>
        <w:jc w:val="both"/>
        <w:rPr>
          <w:rFonts w:hint="eastAsia"/>
          <w:sz w:val="20"/>
          <w:szCs w:val="22"/>
        </w:rPr>
      </w:pPr>
    </w:p>
    <w:p>
      <w:pPr>
        <w:numPr>
          <w:ilvl w:val="0"/>
          <w:numId w:val="1"/>
        </w:numPr>
        <w:jc w:val="both"/>
        <w:outlineLvl w:val="0"/>
        <w:rPr>
          <w:rFonts w:hint="eastAsia"/>
          <w:b/>
          <w:bCs/>
          <w:sz w:val="24"/>
          <w:szCs w:val="32"/>
          <w:lang w:val="en-US" w:eastAsia="zh-CN"/>
        </w:rPr>
      </w:pPr>
      <w:bookmarkStart w:id="0" w:name="_Toc17630"/>
      <w:r>
        <w:rPr>
          <w:rFonts w:hint="eastAsia"/>
          <w:b/>
          <w:bCs/>
          <w:sz w:val="24"/>
          <w:szCs w:val="32"/>
          <w:lang w:val="en-US" w:eastAsia="zh-CN"/>
        </w:rPr>
        <w:t>气候变化带来的危害现状</w:t>
      </w:r>
      <w:bookmarkEnd w:id="0"/>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一个多世纪以来，全球工业化水平不断提高的同时，人类活动造成的碳排放量也大量增加，全球平均气温较工业化前大约上升了1摄氏度。目前，全球气温正在以每10年上升</w:t>
      </w:r>
      <w:r>
        <w:rPr>
          <w:rFonts w:hint="eastAsia"/>
          <w:sz w:val="20"/>
          <w:szCs w:val="22"/>
          <w:lang w:val="en-US" w:eastAsia="zh-CN"/>
        </w:rPr>
        <w:t>0.17</w:t>
      </w:r>
      <w:r>
        <w:rPr>
          <w:rFonts w:hint="default"/>
          <w:sz w:val="20"/>
          <w:szCs w:val="22"/>
          <w:lang w:val="en-US" w:eastAsia="zh-CN"/>
        </w:rPr>
        <w:t>摄氏度的速度提升。根据联合国政府间气候变化专门委员会预测。如果碳排放有增无减，在2030一一2052年的二十三年内，全球气温将提高</w:t>
      </w:r>
      <w:r>
        <w:rPr>
          <w:rFonts w:hint="eastAsia"/>
          <w:sz w:val="20"/>
          <w:szCs w:val="22"/>
          <w:lang w:val="en-US" w:eastAsia="zh-CN"/>
        </w:rPr>
        <w:t>1.5</w:t>
      </w:r>
      <w:r>
        <w:rPr>
          <w:rFonts w:hint="default"/>
          <w:sz w:val="20"/>
          <w:szCs w:val="22"/>
          <w:lang w:val="en-US" w:eastAsia="zh-CN"/>
        </w:rPr>
        <w:t>摄氏度，</w:t>
      </w:r>
      <w:bookmarkStart w:id="6" w:name="_GoBack"/>
      <w:bookmarkEnd w:id="6"/>
      <w:r>
        <w:rPr>
          <w:rFonts w:hint="default"/>
          <w:sz w:val="20"/>
          <w:szCs w:val="22"/>
          <w:lang w:val="en-US" w:eastAsia="zh-CN"/>
        </w:rPr>
        <w:t>这将会导致地球永久冻土带消融、北极冰雪融化速度加快、海平面继续上升(过去的100年海平面上升了14．4cm)，以及热浪、干旱、洪水、台风、火灾等自然灾害发生的频率与强度大大提高。</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气候变化将在未来几个世纪对人类生命、生态系统、经济和社会发展构成持续和日益严重的威胁。全球性的气候变暖，不仅给自然环境、生态系统和人类健康带来巨大的危害，而且也给经济和社会发展以及金融系统的稳定性带来严重挑战。</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2016年底，联合国曾就极端天气警告称，到2030年气候变化可能会使全球经济损失高达2万亿美元以上。美国政府2018年发布的《国家气候评估》报告警告称，如不采取相关措施，到2090年气候问题每年将会给美国造成近5000亿美元的经济损失。</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2019年12月，专家以经合组织经济学家智库(EIU)气候变化弹性指数分析了全球82个最大经济体，结论是按照现行态势，全球GDP到2050年将因全球气候变暖减少3％：由于气候变化导致的洪涝、干旱、农作物歉收和基础设施损失，到21世纪中期，全球直接经济损失可能达到</w:t>
      </w:r>
      <w:r>
        <w:rPr>
          <w:rFonts w:hint="eastAsia"/>
          <w:sz w:val="20"/>
          <w:szCs w:val="22"/>
          <w:lang w:val="en-US" w:eastAsia="zh-CN"/>
        </w:rPr>
        <w:t>7.9</w:t>
      </w:r>
      <w:r>
        <w:rPr>
          <w:rFonts w:hint="default"/>
          <w:sz w:val="20"/>
          <w:szCs w:val="22"/>
          <w:lang w:val="en-US" w:eastAsia="zh-CN"/>
        </w:rPr>
        <w:t>万亿美元。</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世界经济论坛2019年提供的数据表明，全球每年约有23万亿美元的经济损失归因于人类对气候变化的不作为，由此造成的永久性经济损失4倍于2008年金融危机。</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2020年10月13日，世界气象组织(</w:t>
      </w:r>
      <w:r>
        <w:rPr>
          <w:rFonts w:hint="eastAsia"/>
          <w:sz w:val="20"/>
          <w:szCs w:val="22"/>
          <w:lang w:val="en-US" w:eastAsia="zh-CN"/>
        </w:rPr>
        <w:t>WMO</w:t>
      </w:r>
      <w:r>
        <w:rPr>
          <w:rFonts w:hint="default"/>
          <w:sz w:val="20"/>
          <w:szCs w:val="22"/>
          <w:lang w:val="en-US" w:eastAsia="zh-CN"/>
        </w:rPr>
        <w:t>)发布《2020年气候服务状态报告》，指出在过去50年里，全球累计发生气候灾害事件</w:t>
      </w:r>
      <w:r>
        <w:rPr>
          <w:rFonts w:hint="eastAsia"/>
          <w:sz w:val="20"/>
          <w:szCs w:val="22"/>
          <w:lang w:val="en-US" w:eastAsia="zh-CN"/>
        </w:rPr>
        <w:t>1.1</w:t>
      </w:r>
      <w:r>
        <w:rPr>
          <w:rFonts w:hint="default"/>
          <w:sz w:val="20"/>
          <w:szCs w:val="22"/>
          <w:lang w:val="en-US" w:eastAsia="zh-CN"/>
        </w:rPr>
        <w:t>万多起，致死200万人，经济损失达</w:t>
      </w:r>
      <w:r>
        <w:rPr>
          <w:rFonts w:hint="eastAsia"/>
          <w:sz w:val="20"/>
          <w:szCs w:val="22"/>
          <w:lang w:val="en-US" w:eastAsia="zh-CN"/>
        </w:rPr>
        <w:t>3.6</w:t>
      </w:r>
      <w:r>
        <w:rPr>
          <w:rFonts w:hint="default"/>
          <w:sz w:val="20"/>
          <w:szCs w:val="22"/>
          <w:lang w:val="en-US" w:eastAsia="zh-CN"/>
        </w:rPr>
        <w:t>万亿美元；其中有记录的灾难数量增加了5倍，经济损失增加了7倍。全球经济每年仅因森林火灾、干旱和其他形式的土地劣化造成损失就高达15万亿美元，并加剧了气候变化危机。</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国际巨头穆迪分析认为，到2100年，气候变化将给全球造成经济损失69万亿美元。</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我国是受气候变化影响最严重的国家之一。“十二五”期间，我国年均</w:t>
      </w:r>
      <w:r>
        <w:rPr>
          <w:rFonts w:hint="eastAsia"/>
          <w:sz w:val="20"/>
          <w:szCs w:val="22"/>
          <w:lang w:val="en-US" w:eastAsia="zh-CN"/>
        </w:rPr>
        <w:t>3.1</w:t>
      </w:r>
      <w:r>
        <w:rPr>
          <w:rFonts w:hint="default"/>
          <w:sz w:val="20"/>
          <w:szCs w:val="22"/>
          <w:lang w:val="en-US" w:eastAsia="zh-CN"/>
        </w:rPr>
        <w:t>亿人次受灾，因灾每年死亡失踪1500余人，直接经济损失年均3800多亿元。联合国在《灾害的代价2000一2019》中指出，气候灾害在过去20年间频度加剧，中国受灾数量居全球之首。</w:t>
      </w:r>
    </w:p>
    <w:p>
      <w:pPr>
        <w:numPr>
          <w:ilvl w:val="0"/>
          <w:numId w:val="0"/>
        </w:numPr>
        <w:ind w:firstLine="400" w:firstLineChars="200"/>
        <w:jc w:val="both"/>
        <w:rPr>
          <w:rFonts w:hint="default"/>
          <w:sz w:val="20"/>
          <w:szCs w:val="22"/>
          <w:lang w:val="en-US" w:eastAsia="zh-CN"/>
        </w:rPr>
      </w:pPr>
      <w:r>
        <w:rPr>
          <w:rFonts w:hint="default"/>
          <w:sz w:val="20"/>
          <w:szCs w:val="22"/>
          <w:lang w:val="en-US" w:eastAsia="zh-CN"/>
        </w:rPr>
        <w:t>近年来，气候变化剧烈，世界各地频现极端气候灾害事件，人类赖以生存的生态环境面临巨大破坏和威胁。仅2019年，至少有15起与气候变化有关的自然灾害造成了超过10亿美元的损失，其中7起自然灾害的损失至少达到100亿美元。比如印度北部肆虐的洪水、中国的利奇玛台风、美国的多利安飓风、美国中西部和南部的洪水、日本的海贝斯台风、加利福尼亚的山火以及澳大利亚森林大火等等。2020年伊始，非洲发生蝗灾，南极出现超过20摄氏度的气温，这都是由于全球变暖所导致。2019年中国社科院气候变化绿皮书《应对气候变化报告2019：防范气候风险》指出，“全球气候系统的变暖趋势进一步持续，对自然生态系统和经济社会的影响正在加速，全球气候风险持续上升，要进一步加强气候风险管理”。2018年，全球自然灾害发生848次，其中与气候相关的灾害798次，占全部灾害的94%。</w:t>
      </w:r>
    </w:p>
    <w:p>
      <w:pPr>
        <w:numPr>
          <w:ilvl w:val="0"/>
          <w:numId w:val="0"/>
        </w:numPr>
        <w:jc w:val="both"/>
        <w:rPr>
          <w:rFonts w:hint="default"/>
          <w:sz w:val="20"/>
          <w:szCs w:val="22"/>
          <w:lang w:val="en-US" w:eastAsia="zh-CN"/>
        </w:rPr>
      </w:pPr>
    </w:p>
    <w:p>
      <w:pPr>
        <w:numPr>
          <w:ilvl w:val="0"/>
          <w:numId w:val="0"/>
        </w:numPr>
        <w:jc w:val="both"/>
        <w:outlineLvl w:val="0"/>
        <w:rPr>
          <w:rFonts w:hint="default"/>
          <w:b/>
          <w:bCs/>
          <w:sz w:val="24"/>
          <w:szCs w:val="32"/>
          <w:lang w:val="en-US" w:eastAsia="zh-CN"/>
        </w:rPr>
      </w:pPr>
      <w:bookmarkStart w:id="1" w:name="_Toc27205"/>
      <w:r>
        <w:rPr>
          <w:rFonts w:hint="eastAsia"/>
          <w:b/>
          <w:bCs/>
          <w:sz w:val="24"/>
          <w:szCs w:val="32"/>
          <w:lang w:val="en-US" w:eastAsia="zh-CN"/>
        </w:rPr>
        <w:t>二、“绿天鹅”事件</w:t>
      </w:r>
      <w:bookmarkEnd w:id="1"/>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国际清算银行2020年1月发行了一本题为《绿天鹅》的新书，提出“绿天鹅事件”，是指气候领域可能出现的极具破坏力的现象，它可能给社会生活和经济增长造成巨大的财产损失，进而会对金融市场构成系统性威胁，造成颠覆性影响。某种意义上来说，“绿天鹅”可认为是气候领域的“黑天鹅”，气候风险虽然存在不确定性，但长期来看，气候风险所造成的影响一定是负面的。</w:t>
      </w:r>
    </w:p>
    <w:p>
      <w:pPr>
        <w:numPr>
          <w:ilvl w:val="0"/>
          <w:numId w:val="0"/>
        </w:numPr>
        <w:ind w:firstLine="400" w:firstLineChars="200"/>
        <w:jc w:val="both"/>
        <w:rPr>
          <w:rFonts w:hint="eastAsia"/>
          <w:sz w:val="20"/>
          <w:szCs w:val="22"/>
          <w:lang w:val="en-US" w:eastAsia="zh-CN"/>
        </w:rPr>
      </w:pPr>
    </w:p>
    <w:p>
      <w:pPr>
        <w:keepNext w:val="0"/>
        <w:keepLines w:val="0"/>
        <w:widowControl/>
        <w:suppressLineNumbers w:val="0"/>
        <w:jc w:val="left"/>
        <w:rPr>
          <w:rFonts w:hint="eastAsia" w:eastAsiaTheme="minorEastAsia"/>
          <w:lang w:eastAsia="zh-CN"/>
        </w:rPr>
      </w:pPr>
      <w:r>
        <w:rPr>
          <w:rFonts w:hint="eastAsia" w:eastAsiaTheme="minorEastAsia"/>
          <w:lang w:eastAsia="zh-CN"/>
        </w:rPr>
        <w:drawing>
          <wp:inline distT="0" distB="0" distL="114300" distR="114300">
            <wp:extent cx="5270500" cy="1344930"/>
            <wp:effectExtent l="0" t="0" r="2540" b="11430"/>
            <wp:docPr id="3" name="图片 3" descr="QQ图片2022031520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20315203107"/>
                    <pic:cNvPicPr>
                      <a:picLocks noChangeAspect="1"/>
                    </pic:cNvPicPr>
                  </pic:nvPicPr>
                  <pic:blipFill>
                    <a:blip r:embed="rId4"/>
                    <a:stretch>
                      <a:fillRect/>
                    </a:stretch>
                  </pic:blipFill>
                  <pic:spPr>
                    <a:xfrm>
                      <a:off x="0" y="0"/>
                      <a:ext cx="5270500" cy="1344930"/>
                    </a:xfrm>
                    <a:prstGeom prst="rect">
                      <a:avLst/>
                    </a:prstGeom>
                  </pic:spPr>
                </pic:pic>
              </a:graphicData>
            </a:graphic>
          </wp:inline>
        </w:drawing>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numPr>
          <w:ilvl w:val="0"/>
          <w:numId w:val="0"/>
        </w:numPr>
        <w:ind w:firstLine="482" w:firstLineChars="200"/>
        <w:jc w:val="both"/>
        <w:outlineLvl w:val="0"/>
        <w:rPr>
          <w:rFonts w:hint="eastAsia"/>
          <w:b/>
          <w:bCs/>
          <w:sz w:val="24"/>
          <w:szCs w:val="32"/>
          <w:lang w:val="en-US" w:eastAsia="zh-CN"/>
        </w:rPr>
      </w:pPr>
      <w:bookmarkStart w:id="2" w:name="_Toc9622"/>
      <w:r>
        <w:rPr>
          <w:rFonts w:hint="eastAsia"/>
          <w:b/>
          <w:bCs/>
          <w:sz w:val="24"/>
          <w:szCs w:val="32"/>
          <w:lang w:val="en-US" w:eastAsia="zh-CN"/>
        </w:rPr>
        <w:t>三、气候变化引发的主要金融风险</w:t>
      </w:r>
      <w:bookmarkEnd w:id="2"/>
    </w:p>
    <w:p>
      <w:pPr>
        <w:numPr>
          <w:ilvl w:val="0"/>
          <w:numId w:val="0"/>
        </w:numPr>
        <w:ind w:firstLine="400" w:firstLineChars="200"/>
        <w:jc w:val="both"/>
        <w:rPr>
          <w:rFonts w:hint="eastAsia"/>
          <w:sz w:val="20"/>
          <w:szCs w:val="22"/>
          <w:lang w:val="en-US" w:eastAsia="zh-CN"/>
        </w:rPr>
      </w:pPr>
      <w:r>
        <w:rPr>
          <w:rFonts w:hint="eastAsia"/>
          <w:sz w:val="20"/>
          <w:szCs w:val="22"/>
          <w:lang w:val="en-US" w:eastAsia="zh-CN"/>
        </w:rPr>
        <w:t xml:space="preserve">  早在2015年12月，20国集团金融稳定委员会(FsB)设立了气候相关财务信息披露工作组(TCFD)。该组织将气候相关财务风险划分为物理风险和转型风险。物理风险包括各种与环境和气候相关的自然灾害和事件，转型风险包括政策与法律风险、技术风险、市场风险和商誉风险等。</w:t>
      </w:r>
    </w:p>
    <w:p>
      <w:pPr>
        <w:numPr>
          <w:ilvl w:val="0"/>
          <w:numId w:val="2"/>
        </w:numPr>
        <w:jc w:val="both"/>
        <w:rPr>
          <w:rFonts w:hint="default"/>
          <w:b/>
          <w:bCs/>
          <w:sz w:val="21"/>
          <w:szCs w:val="24"/>
          <w:highlight w:val="red"/>
          <w:u w:val="single"/>
          <w:lang w:val="en-US" w:eastAsia="zh-CN"/>
        </w:rPr>
      </w:pPr>
      <w:r>
        <w:rPr>
          <w:rFonts w:hint="eastAsia"/>
          <w:b/>
          <w:bCs/>
          <w:sz w:val="21"/>
          <w:szCs w:val="24"/>
          <w:highlight w:val="red"/>
          <w:u w:val="single"/>
          <w:lang w:val="en-US" w:eastAsia="zh-CN"/>
        </w:rPr>
        <w:t>气候变化直接带来的物理风险对金融行业的影响</w:t>
      </w:r>
    </w:p>
    <w:p>
      <w:pPr>
        <w:numPr>
          <w:ilvl w:val="0"/>
          <w:numId w:val="0"/>
        </w:numPr>
        <w:jc w:val="both"/>
        <w:rPr>
          <w:rFonts w:hint="eastAsia"/>
          <w:sz w:val="20"/>
          <w:szCs w:val="22"/>
          <w:lang w:val="en-US" w:eastAsia="zh-CN"/>
        </w:rPr>
      </w:pPr>
      <w:r>
        <w:rPr>
          <w:rFonts w:hint="eastAsia"/>
          <w:sz w:val="20"/>
          <w:szCs w:val="22"/>
          <w:lang w:val="en-US" w:eastAsia="zh-CN"/>
        </w:rPr>
        <w:t xml:space="preserve">      【概念：</w:t>
      </w:r>
      <w:r>
        <w:rPr>
          <w:rFonts w:hint="eastAsia"/>
          <w:sz w:val="20"/>
          <w:szCs w:val="22"/>
          <w:u w:val="single"/>
          <w:lang w:val="en-US" w:eastAsia="zh-CN"/>
        </w:rPr>
        <w:t>气候变化的物理风险</w:t>
      </w:r>
      <w:r>
        <w:rPr>
          <w:rFonts w:hint="eastAsia"/>
          <w:sz w:val="20"/>
          <w:szCs w:val="22"/>
          <w:lang w:val="en-US" w:eastAsia="zh-CN"/>
        </w:rPr>
        <w:t>是指由极端天气事件 （如干旱、洪水、飓风） 和长期气候变 化 （如温度、海平面上升） 引发的经济作物损失、财产损失、资产减值损失等金融风 险，直接影响金融稳定】</w:t>
      </w:r>
    </w:p>
    <w:p>
      <w:pPr>
        <w:numPr>
          <w:ilvl w:val="0"/>
          <w:numId w:val="0"/>
        </w:numPr>
        <w:ind w:firstLine="600" w:firstLineChars="300"/>
        <w:jc w:val="both"/>
        <w:rPr>
          <w:rFonts w:hint="eastAsia"/>
          <w:sz w:val="20"/>
          <w:szCs w:val="22"/>
          <w:lang w:val="en-US" w:eastAsia="zh-CN"/>
        </w:rPr>
      </w:pPr>
      <w:r>
        <w:rPr>
          <w:rFonts w:hint="eastAsia"/>
          <w:sz w:val="20"/>
          <w:szCs w:val="22"/>
          <w:lang w:val="en-US" w:eastAsia="zh-CN"/>
        </w:rPr>
        <w:t>根据引起风险的时间长短，气候变化引起的物理风险，分为急性风险与慢性风险。急性风险主要表现为极端天气事件，其特征具有突发性和危害的显现性，比如洪水、旱灾、森林火灾、飓风等；慢性风险是指气候的长期慢改变所带来的温度上升、降水量变化、海平面上升、大气污染、水污染、土壤污染等，其特征具有慢性和危害的隐蔽性。</w:t>
      </w:r>
    </w:p>
    <w:p>
      <w:pPr>
        <w:numPr>
          <w:ilvl w:val="0"/>
          <w:numId w:val="3"/>
        </w:numPr>
        <w:jc w:val="both"/>
        <w:rPr>
          <w:rFonts w:hint="eastAsia"/>
          <w:sz w:val="20"/>
          <w:szCs w:val="22"/>
          <w:lang w:val="en-US" w:eastAsia="zh-CN"/>
        </w:rPr>
      </w:pPr>
      <w:r>
        <w:rPr>
          <w:rFonts w:hint="eastAsia"/>
          <w:b/>
          <w:bCs/>
          <w:sz w:val="20"/>
          <w:szCs w:val="22"/>
          <w:u w:val="single"/>
          <w:lang w:val="en-US" w:eastAsia="zh-CN"/>
        </w:rPr>
        <w:t>对于保险业</w:t>
      </w:r>
      <w:r>
        <w:rPr>
          <w:rFonts w:hint="eastAsia"/>
          <w:sz w:val="20"/>
          <w:szCs w:val="22"/>
          <w:lang w:val="en-US" w:eastAsia="zh-CN"/>
        </w:rPr>
        <w:t>，由于气候变化带来极端天气频繁发生，气候物理风险敞口持续增加，赔付率不断提高危及保险公司。</w:t>
      </w:r>
    </w:p>
    <w:p>
      <w:pPr>
        <w:numPr>
          <w:ilvl w:val="0"/>
          <w:numId w:val="0"/>
        </w:numPr>
        <w:jc w:val="both"/>
        <w:rPr>
          <w:rFonts w:hint="eastAsia"/>
          <w:sz w:val="20"/>
          <w:szCs w:val="22"/>
          <w:lang w:val="en-US" w:eastAsia="zh-CN"/>
        </w:rPr>
      </w:pPr>
      <w:r>
        <w:rPr>
          <w:rFonts w:hint="eastAsia"/>
          <w:sz w:val="28"/>
          <w:szCs w:val="36"/>
          <w:lang w:val="en-US" w:eastAsia="zh-CN"/>
        </w:rPr>
        <w:t>e.g.</w:t>
      </w:r>
      <w:r>
        <w:rPr>
          <w:rFonts w:hint="eastAsia"/>
          <w:sz w:val="21"/>
          <w:szCs w:val="24"/>
          <w:lang w:val="en-US" w:eastAsia="zh-CN"/>
        </w:rPr>
        <w:t>①</w:t>
      </w:r>
      <w:r>
        <w:rPr>
          <w:rFonts w:hint="eastAsia"/>
          <w:sz w:val="20"/>
          <w:szCs w:val="22"/>
          <w:lang w:val="en-US" w:eastAsia="zh-CN"/>
        </w:rPr>
        <w:t>1992年的“安德鲁”飓风是保险业受气候变化影响的标志性事件。当年这次飓风的保险损失达到了当时创纪录的210亿美元。直接导致了十多家保险公司破产和美国整体财产保险业偿付能力的下降。这引起了世界对巨灾保险问题的深思，美国政府从中吸取教训，并陆续建立了一些较为完备的巨灾保险体系。</w:t>
      </w:r>
    </w:p>
    <w:p>
      <w:pPr>
        <w:numPr>
          <w:ilvl w:val="0"/>
          <w:numId w:val="0"/>
        </w:numPr>
        <w:jc w:val="both"/>
        <w:rPr>
          <w:rFonts w:hint="eastAsia"/>
          <w:sz w:val="20"/>
          <w:szCs w:val="22"/>
          <w:lang w:val="en-US" w:eastAsia="zh-CN"/>
        </w:rPr>
      </w:pPr>
      <w:r>
        <w:rPr>
          <w:rFonts w:hint="eastAsia"/>
          <w:sz w:val="20"/>
          <w:szCs w:val="22"/>
          <w:lang w:val="en-US" w:eastAsia="zh-CN"/>
        </w:rPr>
        <w:t>②2005年8月底，“卡特里娜”飓风登陆美国，造成1577人死亡，直接经济损失为1350亿美元，是“安德鲁”的3倍多。“卡特里娜”造成保险损失436亿美元，占美国当年巨灾保险损失的66％。</w:t>
      </w:r>
    </w:p>
    <w:p>
      <w:pPr>
        <w:numPr>
          <w:ilvl w:val="0"/>
          <w:numId w:val="0"/>
        </w:numPr>
        <w:jc w:val="both"/>
        <w:rPr>
          <w:rFonts w:hint="eastAsia"/>
          <w:sz w:val="20"/>
          <w:szCs w:val="22"/>
          <w:lang w:val="en-US" w:eastAsia="zh-CN"/>
        </w:rPr>
      </w:pPr>
      <w:r>
        <w:rPr>
          <w:rFonts w:hint="eastAsia"/>
          <w:sz w:val="20"/>
          <w:szCs w:val="22"/>
          <w:lang w:val="en-US" w:eastAsia="zh-CN"/>
        </w:rPr>
        <w:t>③2017年8月，飓风“哈维”给美国经济造成1250亿美元损失，是美国历史上造成损失第二大的自然灾害，保险公司赔付约200亿美元，为保险行业利润的1／4。IMF分析了全球自然灾害总损失及保险损失在1980一2018年的变化趋势，认为从1980年起。保险索赔因自然灾害损失增长了两倍，保险公司未来面临更大的自然灾害损失索赔压力。</w:t>
      </w:r>
    </w:p>
    <w:p>
      <w:pPr>
        <w:numPr>
          <w:ilvl w:val="0"/>
          <w:numId w:val="3"/>
        </w:numPr>
        <w:ind w:left="0" w:leftChars="0" w:firstLine="0" w:firstLineChars="0"/>
        <w:jc w:val="both"/>
        <w:rPr>
          <w:rFonts w:hint="eastAsia"/>
          <w:sz w:val="20"/>
          <w:szCs w:val="22"/>
          <w:lang w:val="en-US" w:eastAsia="zh-CN"/>
        </w:rPr>
      </w:pPr>
      <w:r>
        <w:rPr>
          <w:rFonts w:hint="eastAsia"/>
          <w:b/>
          <w:bCs/>
          <w:sz w:val="20"/>
          <w:szCs w:val="22"/>
          <w:u w:val="single"/>
          <w:lang w:val="en-US" w:eastAsia="zh-CN"/>
        </w:rPr>
        <w:t>对于银行业</w:t>
      </w:r>
      <w:r>
        <w:rPr>
          <w:rFonts w:hint="eastAsia"/>
          <w:sz w:val="20"/>
          <w:szCs w:val="22"/>
          <w:lang w:val="en-US" w:eastAsia="zh-CN"/>
        </w:rPr>
        <w:t>，愈加频繁和剧烈的洪灾、火灾、台风等自然灾害造成的财产损失直接导致抵质押品减值和受影响企业及个人偿债能力下降，从而带来银行资产损失。</w:t>
      </w:r>
    </w:p>
    <w:p>
      <w:pPr>
        <w:numPr>
          <w:ilvl w:val="0"/>
          <w:numId w:val="0"/>
        </w:numPr>
        <w:ind w:leftChars="0"/>
        <w:jc w:val="both"/>
        <w:rPr>
          <w:rFonts w:hint="eastAsia"/>
          <w:sz w:val="20"/>
          <w:szCs w:val="22"/>
          <w:lang w:val="en-US" w:eastAsia="zh-CN"/>
        </w:rPr>
      </w:pPr>
      <w:r>
        <w:rPr>
          <w:rFonts w:hint="eastAsia"/>
          <w:sz w:val="28"/>
          <w:szCs w:val="36"/>
          <w:lang w:val="en-US" w:eastAsia="zh-CN"/>
        </w:rPr>
        <w:t>e.g.</w:t>
      </w:r>
      <w:r>
        <w:rPr>
          <w:rFonts w:hint="eastAsia"/>
          <w:sz w:val="20"/>
          <w:szCs w:val="22"/>
          <w:lang w:val="en-US" w:eastAsia="zh-CN"/>
        </w:rPr>
        <w:t>美国西部受全球气候变暖的影响正变得越来越干燥，山火频繁发生而且更加剧烈。房屋和其他固定资产价值毁损严重，这必然导致住房按揭违约率、房屋抵押贷款违约率和银行贷款损失率上升，甚至山火通过破坏房屋价值、州旅游业和地方政府预算引发美国局部金融危机。2017年10月和2018年11月，美国加州电力供应商太平洋天然气和电力公司引起两起严重山火。直接导致该公司于2019年1月申请破产保护，12月初与山火受害者达成135亿美元的赔偿协议。极端天气事件越来越具有突发性、频繁性和破坏性，由此引发的抵押贷款危机与金融风险堪比2008年全球金融危机。</w:t>
      </w:r>
    </w:p>
    <w:p>
      <w:pPr>
        <w:numPr>
          <w:ilvl w:val="0"/>
          <w:numId w:val="0"/>
        </w:numPr>
        <w:ind w:leftChars="0"/>
        <w:jc w:val="both"/>
        <w:rPr>
          <w:rFonts w:hint="eastAsia"/>
          <w:sz w:val="20"/>
          <w:szCs w:val="22"/>
          <w:lang w:val="en-US" w:eastAsia="zh-CN"/>
        </w:rPr>
      </w:pPr>
      <w:r>
        <w:rPr>
          <w:rFonts w:hint="eastAsia"/>
          <w:sz w:val="20"/>
          <w:szCs w:val="22"/>
          <w:lang w:val="en-US" w:eastAsia="zh-CN"/>
        </w:rPr>
        <w:t>(3)</w:t>
      </w:r>
      <w:r>
        <w:rPr>
          <w:rFonts w:hint="eastAsia"/>
          <w:b/>
          <w:bCs/>
          <w:sz w:val="20"/>
          <w:szCs w:val="22"/>
          <w:u w:val="single"/>
          <w:lang w:val="en-US" w:eastAsia="zh-CN"/>
        </w:rPr>
        <w:t>对于资本市场</w:t>
      </w:r>
      <w:r>
        <w:rPr>
          <w:rFonts w:hint="eastAsia"/>
          <w:sz w:val="20"/>
          <w:szCs w:val="22"/>
          <w:lang w:val="en-US" w:eastAsia="zh-CN"/>
        </w:rPr>
        <w:t>，在气候变化引起的物理风险中，那些遭受损失的公司股票、债券和大宗类商品价格面临下跌风险.</w:t>
      </w:r>
    </w:p>
    <w:p>
      <w:pPr>
        <w:numPr>
          <w:ilvl w:val="0"/>
          <w:numId w:val="0"/>
        </w:numPr>
        <w:ind w:leftChars="0"/>
        <w:jc w:val="both"/>
        <w:rPr>
          <w:rFonts w:hint="eastAsia"/>
          <w:sz w:val="20"/>
          <w:szCs w:val="22"/>
          <w:lang w:val="en-US" w:eastAsia="zh-CN"/>
        </w:rPr>
      </w:pPr>
      <w:r>
        <w:rPr>
          <w:rFonts w:hint="eastAsia"/>
          <w:sz w:val="28"/>
          <w:szCs w:val="36"/>
          <w:lang w:val="en-US" w:eastAsia="zh-CN"/>
        </w:rPr>
        <w:t>e.g.</w:t>
      </w:r>
      <w:r>
        <w:rPr>
          <w:rFonts w:hint="eastAsia"/>
          <w:sz w:val="20"/>
          <w:szCs w:val="22"/>
          <w:lang w:val="en-US" w:eastAsia="zh-CN"/>
        </w:rPr>
        <w:t>①还以上述美国加州2018年11月那次百年一遇的山火为例，由于投资者担心加州电力巨头太平洋天然气和电力公司对山火损失负责，该公司股价在山火发生后五个交易日内经历了自由落体式下跌，跌幅累计超过47％。</w:t>
      </w:r>
    </w:p>
    <w:p>
      <w:pPr>
        <w:numPr>
          <w:ilvl w:val="0"/>
          <w:numId w:val="0"/>
        </w:numPr>
        <w:ind w:leftChars="0"/>
        <w:jc w:val="both"/>
        <w:rPr>
          <w:rFonts w:hint="eastAsia"/>
          <w:sz w:val="20"/>
          <w:szCs w:val="22"/>
          <w:lang w:val="en-US" w:eastAsia="zh-CN"/>
        </w:rPr>
      </w:pPr>
      <w:r>
        <w:rPr>
          <w:rFonts w:hint="eastAsia"/>
          <w:sz w:val="20"/>
          <w:szCs w:val="22"/>
          <w:lang w:val="en-US" w:eastAsia="zh-CN"/>
        </w:rPr>
        <w:t>②2012年10月，飓风“桑迪”在纽约附近登录，直接导致美国各大股票和期货交易所自“911”恐怖袭击以来连续两天全面休市，国际投资者第一次亲身体验到极端天气的威力。</w:t>
      </w:r>
    </w:p>
    <w:p>
      <w:pPr>
        <w:numPr>
          <w:ilvl w:val="0"/>
          <w:numId w:val="4"/>
        </w:numPr>
        <w:ind w:leftChars="0"/>
        <w:jc w:val="both"/>
        <w:rPr>
          <w:rFonts w:hint="eastAsia"/>
          <w:sz w:val="20"/>
          <w:szCs w:val="22"/>
          <w:lang w:val="en-US" w:eastAsia="zh-CN"/>
        </w:rPr>
      </w:pPr>
      <w:r>
        <w:rPr>
          <w:rFonts w:hint="eastAsia"/>
          <w:b/>
          <w:bCs/>
          <w:sz w:val="20"/>
          <w:szCs w:val="22"/>
          <w:u w:val="single"/>
          <w:lang w:val="en-US" w:eastAsia="zh-CN"/>
        </w:rPr>
        <w:t>对于物理资产直接损失的企业和居民</w:t>
      </w:r>
      <w:r>
        <w:rPr>
          <w:rFonts w:hint="eastAsia"/>
          <w:sz w:val="20"/>
          <w:szCs w:val="22"/>
          <w:lang w:val="en-US" w:eastAsia="zh-CN"/>
        </w:rPr>
        <w:t>，房地产资产减值、财富损失、抵质押品减值必然导致居民的预防性储蓄水平增加、居民消费能力降低，企业生产暂时中断、企业生产率水平和盈利水平下降，局部资源短缺、商品价格上涨，从而恶化经济环境，风险最终传导至金融系统。</w:t>
      </w:r>
    </w:p>
    <w:p>
      <w:pPr>
        <w:numPr>
          <w:ilvl w:val="0"/>
          <w:numId w:val="4"/>
        </w:numPr>
        <w:ind w:leftChars="0"/>
        <w:jc w:val="both"/>
        <w:rPr>
          <w:rFonts w:hint="default"/>
          <w:sz w:val="20"/>
          <w:szCs w:val="22"/>
          <w:lang w:val="en-US" w:eastAsia="zh-CN"/>
        </w:rPr>
      </w:pPr>
      <w:r>
        <w:rPr>
          <w:rFonts w:hint="default"/>
          <w:b/>
          <w:bCs/>
          <w:sz w:val="20"/>
          <w:szCs w:val="22"/>
          <w:u w:val="single"/>
          <w:lang w:val="en-US" w:eastAsia="zh-CN"/>
        </w:rPr>
        <w:t>对于中央银行</w:t>
      </w:r>
      <w:r>
        <w:rPr>
          <w:rFonts w:hint="default"/>
          <w:sz w:val="20"/>
          <w:szCs w:val="22"/>
          <w:lang w:val="en-US" w:eastAsia="zh-CN"/>
        </w:rPr>
        <w:t>。气候变化对有效实现货币政策目标的影响越来越大。首先，气候变化能够影响产品的供给和需求，进而影响到货币政策的核心目标一一价格稳定。比如，洪水、旱灾、火灾、台风等气候事件必然降低产出，这会提高产品价格；另一方面灾害带来的巨大损失又会降低人们的消费水平，带来需求被动下降。另外，气候变化会影响人们的消费行为和消费习惯，减少对破坏环境和气候产品的需求，进而影响到这些产品的价格。比如人们对煤炭等环境破坏性较强的能源生产行业的抵制会影响到能源供给和消费模式，进而影响能源价格。其次，气候变化对金融稳定性的冲击越来越明显，不少国家的央行和金融监管当局意识到货币政策的制定和调整必须考虑气候变化因素。2020年1月，国际清算银行警告，气候变化带来的金融风险可能导致下轮系统性金融危机。</w:t>
      </w:r>
    </w:p>
    <w:p>
      <w:pPr>
        <w:numPr>
          <w:ilvl w:val="0"/>
          <w:numId w:val="0"/>
        </w:numPr>
        <w:jc w:val="both"/>
        <w:rPr>
          <w:rFonts w:hint="default"/>
          <w:sz w:val="20"/>
          <w:szCs w:val="22"/>
          <w:lang w:val="en-US" w:eastAsia="zh-CN"/>
        </w:rPr>
      </w:pPr>
    </w:p>
    <w:p>
      <w:pPr>
        <w:numPr>
          <w:ilvl w:val="0"/>
          <w:numId w:val="5"/>
        </w:numPr>
        <w:jc w:val="both"/>
        <w:rPr>
          <w:rFonts w:hint="eastAsia"/>
          <w:b/>
          <w:bCs/>
          <w:sz w:val="21"/>
          <w:szCs w:val="24"/>
          <w:highlight w:val="red"/>
          <w:lang w:val="en-US" w:eastAsia="zh-CN"/>
        </w:rPr>
      </w:pPr>
      <w:r>
        <w:rPr>
          <w:rFonts w:hint="eastAsia"/>
          <w:b/>
          <w:bCs/>
          <w:sz w:val="21"/>
          <w:szCs w:val="24"/>
          <w:highlight w:val="red"/>
          <w:lang w:val="en-US" w:eastAsia="zh-CN"/>
        </w:rPr>
        <w:t>气候变化引起的社会生产和消费方式向低碳经济</w:t>
      </w:r>
      <w:r>
        <w:rPr>
          <w:rFonts w:hint="eastAsia"/>
          <w:b/>
          <w:bCs/>
          <w:sz w:val="21"/>
          <w:szCs w:val="24"/>
          <w:highlight w:val="red"/>
          <w:u w:val="single"/>
          <w:lang w:val="en-US" w:eastAsia="zh-CN"/>
        </w:rPr>
        <w:t>转型</w:t>
      </w:r>
      <w:r>
        <w:rPr>
          <w:rFonts w:hint="eastAsia"/>
          <w:b/>
          <w:bCs/>
          <w:sz w:val="21"/>
          <w:szCs w:val="24"/>
          <w:highlight w:val="red"/>
          <w:lang w:val="en-US" w:eastAsia="zh-CN"/>
        </w:rPr>
        <w:t>给金融系统带来的冲击</w:t>
      </w:r>
    </w:p>
    <w:p>
      <w:pPr>
        <w:numPr>
          <w:ilvl w:val="0"/>
          <w:numId w:val="0"/>
        </w:numPr>
        <w:jc w:val="both"/>
        <w:rPr>
          <w:rFonts w:hint="eastAsia"/>
          <w:sz w:val="20"/>
          <w:szCs w:val="22"/>
          <w:lang w:val="en-US" w:eastAsia="zh-CN"/>
        </w:rPr>
      </w:pPr>
      <w:r>
        <w:rPr>
          <w:rFonts w:hint="eastAsia"/>
          <w:sz w:val="20"/>
          <w:szCs w:val="22"/>
          <w:lang w:val="en-US" w:eastAsia="zh-CN"/>
        </w:rPr>
        <w:t xml:space="preserve">   【概念：气候变化的转型风险是指社会在向低碳经济转型过程对金融市场以及宏观经济带 来的风险，具体表现为气候政策调整、技术改革、新的商业模式变化、市场情绪的变 化对碳密集行业资产价格带来影响，进而导致大范围资产价值的重新评估。】</w:t>
      </w:r>
    </w:p>
    <w:p>
      <w:pPr>
        <w:numPr>
          <w:ilvl w:val="0"/>
          <w:numId w:val="0"/>
        </w:numPr>
        <w:jc w:val="both"/>
        <w:rPr>
          <w:rFonts w:hint="default"/>
          <w:sz w:val="20"/>
          <w:szCs w:val="22"/>
          <w:lang w:val="en-US" w:eastAsia="zh-CN"/>
        </w:rPr>
      </w:pPr>
      <w:r>
        <w:rPr>
          <w:rFonts w:hint="eastAsia"/>
          <w:sz w:val="20"/>
          <w:szCs w:val="22"/>
          <w:lang w:val="en-US" w:eastAsia="zh-CN"/>
        </w:rPr>
        <w:t>（1）气候变化</w:t>
      </w:r>
      <w:r>
        <w:rPr>
          <w:rFonts w:hint="eastAsia"/>
          <w:b/>
          <w:bCs/>
          <w:sz w:val="20"/>
          <w:szCs w:val="22"/>
          <w:u w:val="single"/>
          <w:lang w:val="en-US" w:eastAsia="zh-CN"/>
        </w:rPr>
        <w:t>引起社会生产和消费方式转型</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在政府政策、环保法律法规、科技进步、人们生活消费观念转变等因素的综合作用下，人类社会生产和消费活动向低碳经济模式加速转型。但是，在新旧模式转换交替中，旧的高碳相关的行业和领域必然会面临这种转型风险．遭受重大经济损失．并将其风险传导给与相关的金融领域。</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在政策与法律方面。政府部门将会陆续制定并实施减排温室气体的制度体系和监管政策，推动全社会生产和消费方式向可持续化、绿色化方面转型。目前全球已经有30多个国家开征了碳税，碳税是按照化石燃料燃烧后的排碳量进行征收，主要目的是减少二氧化碳排放量，应对全球气候变化。中国目前尚未征收碳税，但政府在2013年后出台了很多治理空气污染的政策，污染排放标准提高，如果企业超标会被高额罚款，甚至被要求停工停产。</w:t>
      </w:r>
    </w:p>
    <w:p>
      <w:pPr>
        <w:numPr>
          <w:ilvl w:val="0"/>
          <w:numId w:val="0"/>
        </w:numPr>
        <w:ind w:leftChars="0" w:firstLine="400"/>
        <w:jc w:val="both"/>
        <w:rPr>
          <w:rFonts w:hint="default"/>
          <w:sz w:val="20"/>
          <w:szCs w:val="22"/>
          <w:lang w:val="en-US" w:eastAsia="zh-CN"/>
        </w:rPr>
      </w:pPr>
      <w:r>
        <w:rPr>
          <w:rFonts w:hint="default"/>
          <w:sz w:val="20"/>
          <w:szCs w:val="22"/>
          <w:lang w:val="en-US" w:eastAsia="zh-CN"/>
        </w:rPr>
        <w:t>在技术进步方面，清洁能源技术已经取得了突破，清洁能源成本持续下降，对传统煤电行业产生较大冲击。以美国为例，早在2015年，美国部分州的风电成本就降至2美分／千瓦时，大型光伏发电装机成本降至2．08美元／瓦，与传统发电相比，风力发电和光伏发电在美国已经具备强有力的价格竞争力8。近几年中国清洁能源的投资额均居世界首位，2019年投资额为834亿美元，比第二、第三位的美国和欧洲分别多出279亿美元、288亿美元，目前中国已经具备全球1／4的太阳能发电能力并且拥有世界上1／3的风力发电量。专家预计，中国将在20年内投资6万亿美元发展清洁能源技术和低碳发电；到2023年，全球约50％的能源可能来自风能和太阳能，可再生能源预计将占到全球发电量增长的70％以上。</w:t>
      </w:r>
    </w:p>
    <w:p>
      <w:pPr>
        <w:numPr>
          <w:ilvl w:val="0"/>
          <w:numId w:val="0"/>
        </w:numPr>
        <w:ind w:leftChars="0" w:firstLine="400"/>
        <w:jc w:val="both"/>
        <w:rPr>
          <w:rFonts w:hint="default"/>
          <w:sz w:val="20"/>
          <w:szCs w:val="22"/>
          <w:lang w:val="en-US" w:eastAsia="zh-CN"/>
        </w:rPr>
      </w:pPr>
      <w:r>
        <w:rPr>
          <w:rFonts w:hint="default"/>
          <w:sz w:val="20"/>
          <w:szCs w:val="22"/>
          <w:lang w:val="en-US" w:eastAsia="zh-CN"/>
        </w:rPr>
        <w:t>在人们生活消费观念转变方面，在减排政策法规和清洁能源消费成本不断下降的双重作用下，居民个人和社会单位必然会逐渐改变其消费结构。走向绿色低碳生活．并要求金融机构能够提供应对气候变化的绿色金融产品和服务。</w:t>
      </w:r>
    </w:p>
    <w:p>
      <w:pPr>
        <w:numPr>
          <w:ilvl w:val="0"/>
          <w:numId w:val="3"/>
        </w:numPr>
        <w:ind w:left="0" w:leftChars="0" w:firstLine="0" w:firstLineChars="0"/>
        <w:jc w:val="both"/>
        <w:rPr>
          <w:rFonts w:hint="eastAsia"/>
          <w:sz w:val="20"/>
          <w:szCs w:val="22"/>
          <w:lang w:val="en-US" w:eastAsia="zh-CN"/>
        </w:rPr>
      </w:pPr>
      <w:r>
        <w:rPr>
          <w:rFonts w:hint="eastAsia"/>
          <w:sz w:val="20"/>
          <w:szCs w:val="22"/>
          <w:lang w:val="en-US" w:eastAsia="zh-CN"/>
        </w:rPr>
        <w:t>在低碳转型背景下各产业和企业面临转型风险，这将对</w:t>
      </w:r>
      <w:r>
        <w:rPr>
          <w:rFonts w:hint="eastAsia"/>
          <w:b/>
          <w:bCs/>
          <w:sz w:val="20"/>
          <w:szCs w:val="22"/>
          <w:u w:val="single"/>
          <w:lang w:val="en-US" w:eastAsia="zh-CN"/>
        </w:rPr>
        <w:t>整个金融领域</w:t>
      </w:r>
      <w:r>
        <w:rPr>
          <w:rFonts w:hint="eastAsia"/>
          <w:sz w:val="20"/>
          <w:szCs w:val="22"/>
          <w:lang w:val="en-US" w:eastAsia="zh-CN"/>
        </w:rPr>
        <w:t>产生深远影响</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市场各方已就气候变化引起的风险达成共识，在政府应对气候变化政策的引领下，各行业和企业、金融机构、居民家庭均采取减少温室气体排放的应对措施，这将导致整个社会生产和消费模式逐步发生改变，也必然引起原有生产要素包含大量资本重新流动配置，进而使得金融系统的融资结构、资产与负债、利润与风险暴露领域等各个方面发生巨大变化。具体表现：</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①监管部门要求上市公司披露由气候变化造成的风险底线，并建立起应对气候变化的碳减排发展战略。</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②资本市场的投资“去碳化”现象日益明显。</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③传统的不符合碳排放标准的化石燃料资产质量趋于恶化。</w:t>
      </w:r>
    </w:p>
    <w:p>
      <w:pPr>
        <w:numPr>
          <w:ilvl w:val="0"/>
          <w:numId w:val="0"/>
        </w:numPr>
        <w:ind w:leftChars="0" w:firstLine="400"/>
        <w:jc w:val="both"/>
        <w:rPr>
          <w:rFonts w:hint="eastAsia"/>
          <w:sz w:val="20"/>
          <w:szCs w:val="22"/>
          <w:lang w:val="en-US" w:eastAsia="zh-CN"/>
        </w:rPr>
      </w:pPr>
      <w:r>
        <w:rPr>
          <w:rFonts w:hint="eastAsia"/>
          <w:sz w:val="20"/>
          <w:szCs w:val="22"/>
          <w:lang w:val="en-US" w:eastAsia="zh-CN"/>
        </w:rPr>
        <w:t>④金融机构在资产投向上面临监管者、资产质量、投资者和NGOs多重压力，化石燃料行业融资压力持续增大。</w:t>
      </w:r>
    </w:p>
    <w:p>
      <w:pPr>
        <w:keepNext w:val="0"/>
        <w:keepLines w:val="0"/>
        <w:widowControl/>
        <w:suppressLineNumbers w:val="0"/>
        <w:jc w:val="left"/>
        <w:rPr>
          <w:rFonts w:hint="eastAsia"/>
          <w:sz w:val="20"/>
          <w:szCs w:val="22"/>
          <w:lang w:val="en-US" w:eastAsia="zh-CN"/>
        </w:rPr>
      </w:pPr>
      <w:r>
        <w:rPr>
          <w:rFonts w:hint="eastAsia"/>
          <w:sz w:val="20"/>
          <w:szCs w:val="22"/>
          <w:lang w:val="en-US" w:eastAsia="zh-CN"/>
        </w:rPr>
        <w:drawing>
          <wp:inline distT="0" distB="0" distL="114300" distR="114300">
            <wp:extent cx="5274310" cy="3780790"/>
            <wp:effectExtent l="0" t="0" r="13970" b="13970"/>
            <wp:docPr id="6" name="图片 6" descr="QQ图片2022031521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0315211002"/>
                    <pic:cNvPicPr>
                      <a:picLocks noChangeAspect="1"/>
                    </pic:cNvPicPr>
                  </pic:nvPicPr>
                  <pic:blipFill>
                    <a:blip r:embed="rId6"/>
                    <a:stretch>
                      <a:fillRect/>
                    </a:stretch>
                  </pic:blipFill>
                  <pic:spPr>
                    <a:xfrm>
                      <a:off x="0" y="0"/>
                      <a:ext cx="5274310" cy="3780790"/>
                    </a:xfrm>
                    <a:prstGeom prst="rect">
                      <a:avLst/>
                    </a:prstGeom>
                  </pic:spPr>
                </pic:pic>
              </a:graphicData>
            </a:graphic>
          </wp:inline>
        </w:drawing>
      </w:r>
    </w:p>
    <w:p>
      <w:pPr>
        <w:keepNext w:val="0"/>
        <w:keepLines w:val="0"/>
        <w:widowControl/>
        <w:suppressLineNumbers w:val="0"/>
        <w:jc w:val="left"/>
        <w:outlineLvl w:val="0"/>
        <w:rPr>
          <w:rFonts w:hint="default"/>
          <w:b/>
          <w:bCs/>
          <w:sz w:val="36"/>
          <w:szCs w:val="44"/>
          <w:lang w:val="en-US" w:eastAsia="zh-CN"/>
        </w:rPr>
      </w:pPr>
      <w:bookmarkStart w:id="3" w:name="_Toc6981"/>
      <w:r>
        <w:rPr>
          <w:rFonts w:hint="eastAsia"/>
          <w:b/>
          <w:bCs/>
          <w:sz w:val="36"/>
          <w:szCs w:val="44"/>
          <w:lang w:val="en-US" w:eastAsia="zh-CN"/>
        </w:rPr>
        <w:t>三、国内外金融应对气候变化经验与实践</w:t>
      </w:r>
      <w:bookmarkEnd w:id="3"/>
    </w:p>
    <w:p>
      <w:pPr>
        <w:numPr>
          <w:ilvl w:val="0"/>
          <w:numId w:val="0"/>
        </w:numPr>
        <w:jc w:val="both"/>
        <w:rPr>
          <w:rFonts w:hint="eastAsia"/>
          <w:b/>
          <w:bCs/>
          <w:sz w:val="24"/>
          <w:szCs w:val="32"/>
          <w:highlight w:val="yellow"/>
          <w:lang w:val="en-US" w:eastAsia="zh-CN"/>
        </w:rPr>
      </w:pPr>
      <w:r>
        <w:rPr>
          <w:rFonts w:hint="eastAsia"/>
          <w:b/>
          <w:bCs/>
          <w:sz w:val="24"/>
          <w:szCs w:val="32"/>
          <w:highlight w:val="yellow"/>
          <w:lang w:val="en-US" w:eastAsia="zh-CN"/>
        </w:rPr>
        <w:t>（一）指导金融机构增强</w:t>
      </w:r>
      <w:r>
        <w:rPr>
          <w:rFonts w:hint="eastAsia"/>
          <w:b/>
          <w:bCs/>
          <w:i w:val="0"/>
          <w:iCs w:val="0"/>
          <w:sz w:val="24"/>
          <w:szCs w:val="32"/>
          <w:highlight w:val="yellow"/>
          <w:u w:val="single"/>
          <w:lang w:val="en-US" w:eastAsia="zh-CN"/>
        </w:rPr>
        <w:t>气候变化风险防范意识</w:t>
      </w:r>
      <w:r>
        <w:rPr>
          <w:rFonts w:hint="eastAsia"/>
          <w:b/>
          <w:bCs/>
          <w:sz w:val="24"/>
          <w:szCs w:val="32"/>
          <w:highlight w:val="yellow"/>
          <w:lang w:val="en-US" w:eastAsia="zh-CN"/>
        </w:rPr>
        <w:t>，加强对气候变化风险的管理</w:t>
      </w:r>
    </w:p>
    <w:p>
      <w:pPr>
        <w:numPr>
          <w:ilvl w:val="0"/>
          <w:numId w:val="0"/>
        </w:numPr>
        <w:jc w:val="both"/>
        <w:rPr>
          <w:rFonts w:hint="eastAsia"/>
          <w:b/>
          <w:bCs/>
          <w:sz w:val="28"/>
          <w:szCs w:val="36"/>
          <w:highlight w:val="none"/>
          <w:lang w:val="en-US" w:eastAsia="zh-CN"/>
        </w:rPr>
      </w:pPr>
      <w:r>
        <w:rPr>
          <w:rFonts w:hint="eastAsia"/>
          <w:b/>
          <w:bCs/>
          <w:sz w:val="28"/>
          <w:szCs w:val="36"/>
          <w:highlight w:val="none"/>
          <w:lang w:val="en-US" w:eastAsia="zh-CN"/>
        </w:rPr>
        <w:t>理论：</w:t>
      </w:r>
    </w:p>
    <w:p>
      <w:pPr>
        <w:numPr>
          <w:ilvl w:val="0"/>
          <w:numId w:val="0"/>
        </w:numPr>
        <w:ind w:firstLine="600" w:firstLineChars="300"/>
        <w:jc w:val="both"/>
        <w:rPr>
          <w:rFonts w:hint="eastAsia"/>
          <w:b w:val="0"/>
          <w:bCs w:val="0"/>
          <w:sz w:val="20"/>
          <w:szCs w:val="22"/>
          <w:highlight w:val="none"/>
          <w:lang w:val="en-US" w:eastAsia="zh-CN"/>
        </w:rPr>
      </w:pPr>
      <w:r>
        <w:rPr>
          <w:rFonts w:hint="eastAsia"/>
          <w:b w:val="0"/>
          <w:bCs w:val="0"/>
          <w:sz w:val="20"/>
          <w:szCs w:val="22"/>
          <w:highlight w:val="none"/>
          <w:lang w:val="en-US" w:eastAsia="zh-CN"/>
        </w:rPr>
        <w:t>一是鼓励更多的央行将可持续因素整合到自有投资管理中。通过调整传统财务回报目标，将部分投资用于追求非财务可持续性目标，以此产生积极的社会影响 ；同时考虑到向低碳转型可能存在金融风险并采取应对措施，降低声誉风险。</w:t>
      </w:r>
    </w:p>
    <w:p>
      <w:pPr>
        <w:numPr>
          <w:ilvl w:val="0"/>
          <w:numId w:val="0"/>
        </w:numPr>
        <w:ind w:firstLine="600" w:firstLineChars="300"/>
        <w:jc w:val="both"/>
        <w:rPr>
          <w:rFonts w:hint="eastAsia"/>
          <w:b w:val="0"/>
          <w:bCs w:val="0"/>
          <w:sz w:val="20"/>
          <w:szCs w:val="22"/>
          <w:highlight w:val="none"/>
          <w:lang w:val="en-US" w:eastAsia="zh-CN"/>
        </w:rPr>
      </w:pPr>
      <w:r>
        <w:rPr>
          <w:rFonts w:hint="eastAsia"/>
          <w:b w:val="0"/>
          <w:bCs w:val="0"/>
          <w:sz w:val="20"/>
          <w:szCs w:val="22"/>
          <w:highlight w:val="none"/>
          <w:lang w:val="en-US" w:eastAsia="zh-CN"/>
        </w:rPr>
        <w:t>二是加强对可持续发展的监管支持。为机构投资者提供与气候相关的信息披露、数据分析以及风险管理，提高机构投资者有效、全面评估气候金融风险的能力，平衡好预期回报与风险偏好，逐步形成符合长期利益的投资环境。</w:t>
      </w:r>
    </w:p>
    <w:p>
      <w:pPr>
        <w:numPr>
          <w:ilvl w:val="0"/>
          <w:numId w:val="0"/>
        </w:numPr>
        <w:ind w:firstLine="600" w:firstLineChars="300"/>
        <w:jc w:val="both"/>
        <w:rPr>
          <w:rFonts w:hint="eastAsia"/>
          <w:b w:val="0"/>
          <w:bCs w:val="0"/>
          <w:sz w:val="20"/>
          <w:szCs w:val="22"/>
          <w:highlight w:val="none"/>
          <w:lang w:val="en-US" w:eastAsia="zh-CN"/>
        </w:rPr>
      </w:pPr>
      <w:r>
        <w:rPr>
          <w:rFonts w:hint="eastAsia"/>
          <w:b w:val="0"/>
          <w:bCs w:val="0"/>
          <w:sz w:val="20"/>
          <w:szCs w:val="22"/>
          <w:highlight w:val="none"/>
          <w:lang w:val="en-US" w:eastAsia="zh-CN"/>
        </w:rPr>
        <w:t>三是建立统一可比的绿色金融分类办法和标准，允许绿色资产和投资项目的认证。对分类办法和标准进行动态调整并定期审查，以适应技术变化和国际政策的发展。</w:t>
      </w:r>
    </w:p>
    <w:p>
      <w:pPr>
        <w:numPr>
          <w:ilvl w:val="0"/>
          <w:numId w:val="0"/>
        </w:numPr>
        <w:jc w:val="both"/>
        <w:rPr>
          <w:rFonts w:hint="default"/>
          <w:b/>
          <w:bCs/>
          <w:sz w:val="28"/>
          <w:szCs w:val="36"/>
          <w:highlight w:val="none"/>
          <w:lang w:val="en-US" w:eastAsia="zh-CN"/>
        </w:rPr>
      </w:pPr>
      <w:r>
        <w:rPr>
          <w:rFonts w:hint="eastAsia"/>
          <w:b/>
          <w:bCs/>
          <w:sz w:val="28"/>
          <w:szCs w:val="36"/>
          <w:highlight w:val="none"/>
          <w:lang w:val="en-US" w:eastAsia="zh-CN"/>
        </w:rPr>
        <w:t>国内外做法：</w:t>
      </w:r>
    </w:p>
    <w:p>
      <w:pPr>
        <w:numPr>
          <w:ilvl w:val="0"/>
          <w:numId w:val="0"/>
        </w:numPr>
        <w:jc w:val="both"/>
        <w:rPr>
          <w:rFonts w:hint="eastAsia"/>
          <w:sz w:val="20"/>
          <w:szCs w:val="22"/>
          <w:highlight w:val="none"/>
          <w:lang w:val="en-US" w:eastAsia="zh-CN"/>
        </w:rPr>
      </w:pPr>
      <w:r>
        <w:rPr>
          <w:rFonts w:hint="eastAsia"/>
          <w:sz w:val="24"/>
          <w:szCs w:val="32"/>
          <w:highlight w:val="green"/>
          <w:lang w:val="en-US" w:eastAsia="zh-CN"/>
        </w:rPr>
        <w:t>国外：</w:t>
      </w:r>
      <w:r>
        <w:rPr>
          <w:rFonts w:hint="eastAsia"/>
          <w:sz w:val="20"/>
          <w:szCs w:val="22"/>
          <w:highlight w:val="none"/>
          <w:lang w:val="en-US" w:eastAsia="zh-CN"/>
        </w:rPr>
        <w:t>欧洲央行是全球最早关注气候环境风险对金融稳定影响的机构。2019 年 5 月，</w:t>
      </w:r>
      <w:r>
        <w:rPr>
          <w:rFonts w:hint="eastAsia"/>
          <w:b/>
          <w:bCs/>
          <w:sz w:val="20"/>
          <w:szCs w:val="22"/>
          <w:highlight w:val="none"/>
          <w:u w:val="single"/>
          <w:lang w:val="en-US" w:eastAsia="zh-CN"/>
        </w:rPr>
        <w:t>欧洲中央银行《金融稳定报告》</w:t>
      </w:r>
      <w:r>
        <w:rPr>
          <w:rFonts w:hint="eastAsia"/>
          <w:sz w:val="20"/>
          <w:szCs w:val="22"/>
          <w:highlight w:val="none"/>
          <w:lang w:val="en-US" w:eastAsia="zh-CN"/>
        </w:rPr>
        <w:t>指出，如果市场对气候变化的定价不恰当，气候变化风险可能成为欧元区的系统性风险；</w:t>
      </w:r>
      <w:r>
        <w:rPr>
          <w:rFonts w:hint="eastAsia"/>
          <w:b/>
          <w:bCs/>
          <w:sz w:val="20"/>
          <w:szCs w:val="22"/>
          <w:highlight w:val="none"/>
          <w:u w:val="single"/>
          <w:lang w:val="en-US" w:eastAsia="zh-CN"/>
        </w:rPr>
        <w:t>2020 年底，出台欧洲《气候环境风险指南》</w:t>
      </w:r>
      <w:r>
        <w:rPr>
          <w:rFonts w:hint="eastAsia"/>
          <w:sz w:val="20"/>
          <w:szCs w:val="22"/>
          <w:highlight w:val="none"/>
          <w:lang w:val="en-US" w:eastAsia="zh-CN"/>
        </w:rPr>
        <w:t>，是当时全球金融体系应对气候和环境风险的第一份重要文件；2020 年 7 月，</w:t>
      </w:r>
      <w:r>
        <w:rPr>
          <w:rFonts w:hint="eastAsia"/>
          <w:b/>
          <w:bCs/>
          <w:sz w:val="20"/>
          <w:szCs w:val="22"/>
          <w:highlight w:val="none"/>
          <w:u w:val="single"/>
          <w:lang w:val="en-US" w:eastAsia="zh-CN"/>
        </w:rPr>
        <w:t>法国审慎监管局（ACPR</w:t>
      </w:r>
      <w:r>
        <w:rPr>
          <w:rFonts w:hint="eastAsia"/>
          <w:sz w:val="20"/>
          <w:szCs w:val="22"/>
          <w:highlight w:val="none"/>
          <w:lang w:val="en-US" w:eastAsia="zh-CN"/>
        </w:rPr>
        <w:t>）启动气候变化风险试点评估；同年 11 月，</w:t>
      </w:r>
      <w:r>
        <w:rPr>
          <w:rFonts w:hint="eastAsia"/>
          <w:b/>
          <w:bCs/>
          <w:sz w:val="20"/>
          <w:szCs w:val="22"/>
          <w:highlight w:val="none"/>
          <w:u w:val="single"/>
          <w:lang w:val="en-US" w:eastAsia="zh-CN"/>
        </w:rPr>
        <w:t>美联储金融稳定报告</w:t>
      </w:r>
      <w:r>
        <w:rPr>
          <w:rFonts w:hint="eastAsia"/>
          <w:sz w:val="20"/>
          <w:szCs w:val="22"/>
          <w:highlight w:val="none"/>
          <w:lang w:val="en-US" w:eastAsia="zh-CN"/>
        </w:rPr>
        <w:t>首次分析气候变化给金融稳定带来的风险。</w:t>
      </w:r>
      <w:r>
        <w:rPr>
          <w:rFonts w:hint="eastAsia"/>
          <w:b/>
          <w:bCs/>
          <w:sz w:val="20"/>
          <w:szCs w:val="22"/>
          <w:highlight w:val="none"/>
          <w:u w:val="single"/>
          <w:lang w:val="en-US" w:eastAsia="zh-CN"/>
        </w:rPr>
        <w:t>澳大利亚央行</w:t>
      </w:r>
      <w:r>
        <w:rPr>
          <w:rFonts w:hint="eastAsia"/>
          <w:sz w:val="20"/>
          <w:szCs w:val="22"/>
          <w:highlight w:val="none"/>
          <w:lang w:val="en-US" w:eastAsia="zh-CN"/>
        </w:rPr>
        <w:t>已将气候变化列入影响澳大利亚经济的系统性风险，并进行监测，在机构设置上，澳大利亚央行与审慎监管局、证券和投资委员会、财政部密切合作， 作为该国金融监管委员会的一部分。</w:t>
      </w:r>
    </w:p>
    <w:p>
      <w:pPr>
        <w:numPr>
          <w:ilvl w:val="0"/>
          <w:numId w:val="0"/>
        </w:numPr>
        <w:jc w:val="both"/>
        <w:rPr>
          <w:rFonts w:hint="eastAsia"/>
          <w:sz w:val="20"/>
          <w:szCs w:val="22"/>
          <w:highlight w:val="none"/>
          <w:lang w:val="en-US" w:eastAsia="zh-CN"/>
        </w:rPr>
      </w:pPr>
      <w:r>
        <w:rPr>
          <w:rFonts w:hint="eastAsia"/>
          <w:sz w:val="24"/>
          <w:szCs w:val="32"/>
          <w:highlight w:val="green"/>
          <w:lang w:val="en-US" w:eastAsia="zh-CN"/>
        </w:rPr>
        <w:t>我国：</w:t>
      </w:r>
      <w:r>
        <w:rPr>
          <w:rFonts w:hint="eastAsia"/>
          <w:sz w:val="20"/>
          <w:szCs w:val="22"/>
          <w:highlight w:val="none"/>
          <w:lang w:val="en-US" w:eastAsia="zh-CN"/>
        </w:rPr>
        <w:t>2008 年，国办发文推进金融业综合统计工作，编制绿色金融等重点领域信贷政策统计数据。2019 年 3 月，国家发改委会同有关部门制发《绿色产业指导目录》。人民银行 2016 年 8 月，出台《关于构建绿色金融体系的指导意见》；2018 年 3 月，印发《关于建立绿色贷款专项统计制度的通知》；2019 年，修订绿色贷款专项统计制度；2021 年 4 月，会同发改委、证监会发布《绿色债券支持项目目录》，7 月，发布《金融机构环境信息披露指南》《环境权益融资工具》两项行业标准。</w:t>
      </w:r>
    </w:p>
    <w:p>
      <w:pPr>
        <w:numPr>
          <w:ilvl w:val="0"/>
          <w:numId w:val="0"/>
        </w:numPr>
        <w:jc w:val="both"/>
        <w:rPr>
          <w:rFonts w:hint="eastAsia"/>
          <w:sz w:val="20"/>
          <w:szCs w:val="22"/>
          <w:highlight w:val="none"/>
          <w:lang w:val="en-US" w:eastAsia="zh-CN"/>
        </w:rPr>
      </w:pPr>
    </w:p>
    <w:p>
      <w:pPr>
        <w:numPr>
          <w:ilvl w:val="0"/>
          <w:numId w:val="2"/>
        </w:numPr>
        <w:ind w:left="0" w:leftChars="0" w:firstLine="0" w:firstLineChars="0"/>
        <w:jc w:val="both"/>
        <w:rPr>
          <w:rFonts w:hint="eastAsia"/>
          <w:b/>
          <w:bCs/>
          <w:sz w:val="22"/>
          <w:szCs w:val="28"/>
          <w:highlight w:val="yellow"/>
          <w:u w:val="single"/>
          <w:lang w:val="en-US" w:eastAsia="zh-CN"/>
        </w:rPr>
      </w:pPr>
      <w:r>
        <w:rPr>
          <w:rFonts w:hint="eastAsia"/>
          <w:b/>
          <w:bCs/>
          <w:sz w:val="22"/>
          <w:szCs w:val="28"/>
          <w:highlight w:val="yellow"/>
          <w:lang w:val="en-US" w:eastAsia="zh-CN"/>
        </w:rPr>
        <w:t>将气候变化因素考虑在</w:t>
      </w:r>
      <w:r>
        <w:rPr>
          <w:rFonts w:hint="eastAsia"/>
          <w:b/>
          <w:bCs/>
          <w:sz w:val="22"/>
          <w:szCs w:val="28"/>
          <w:highlight w:val="yellow"/>
          <w:u w:val="single"/>
          <w:lang w:val="en-US" w:eastAsia="zh-CN"/>
        </w:rPr>
        <w:t>宏观审慎监管</w:t>
      </w:r>
      <w:r>
        <w:rPr>
          <w:rFonts w:hint="eastAsia"/>
          <w:b/>
          <w:bCs/>
          <w:sz w:val="22"/>
          <w:szCs w:val="28"/>
          <w:highlight w:val="yellow"/>
          <w:lang w:val="en-US" w:eastAsia="zh-CN"/>
        </w:rPr>
        <w:t>中，开展金融体系应对气候风险</w:t>
      </w:r>
      <w:r>
        <w:rPr>
          <w:rFonts w:hint="eastAsia"/>
          <w:b/>
          <w:bCs/>
          <w:sz w:val="22"/>
          <w:szCs w:val="28"/>
          <w:highlight w:val="yellow"/>
          <w:u w:val="single"/>
          <w:lang w:val="en-US" w:eastAsia="zh-CN"/>
        </w:rPr>
        <w:t>韧性评估</w:t>
      </w:r>
    </w:p>
    <w:p>
      <w:pPr>
        <w:numPr>
          <w:ilvl w:val="0"/>
          <w:numId w:val="0"/>
        </w:numPr>
        <w:jc w:val="both"/>
        <w:rPr>
          <w:rFonts w:hint="default"/>
          <w:b/>
          <w:bCs/>
          <w:sz w:val="28"/>
          <w:szCs w:val="36"/>
          <w:highlight w:val="none"/>
          <w:u w:val="none"/>
          <w:lang w:val="en-US" w:eastAsia="zh-CN"/>
        </w:rPr>
      </w:pPr>
      <w:r>
        <w:rPr>
          <w:rFonts w:hint="eastAsia"/>
          <w:b/>
          <w:bCs/>
          <w:sz w:val="28"/>
          <w:szCs w:val="36"/>
          <w:highlight w:val="none"/>
          <w:u w:val="none"/>
          <w:lang w:val="en-US" w:eastAsia="zh-CN"/>
        </w:rPr>
        <w:t>理论：</w:t>
      </w:r>
    </w:p>
    <w:p>
      <w:pPr>
        <w:numPr>
          <w:ilvl w:val="0"/>
          <w:numId w:val="0"/>
        </w:numPr>
        <w:ind w:leftChars="0" w:firstLine="600" w:firstLineChars="300"/>
        <w:jc w:val="both"/>
        <w:rPr>
          <w:rFonts w:hint="eastAsia"/>
          <w:b w:val="0"/>
          <w:bCs w:val="0"/>
          <w:sz w:val="20"/>
          <w:szCs w:val="22"/>
          <w:highlight w:val="none"/>
          <w:u w:val="none"/>
          <w:lang w:val="en-US" w:eastAsia="zh-CN"/>
        </w:rPr>
      </w:pPr>
      <w:r>
        <w:rPr>
          <w:rFonts w:hint="eastAsia"/>
          <w:b w:val="0"/>
          <w:bCs w:val="0"/>
          <w:sz w:val="20"/>
          <w:szCs w:val="22"/>
          <w:highlight w:val="none"/>
          <w:u w:val="none"/>
          <w:lang w:val="en-US" w:eastAsia="zh-CN"/>
        </w:rPr>
        <w:t>一是各国央行和监管机构要提高认识，高度重视和了解气候变化所带来的金融风险以及气候问题的特性，将气候相关风险纳入金融稳定监测和微观监测范围。</w:t>
      </w:r>
    </w:p>
    <w:p>
      <w:pPr>
        <w:numPr>
          <w:ilvl w:val="0"/>
          <w:numId w:val="0"/>
        </w:numPr>
        <w:ind w:leftChars="0" w:firstLine="600" w:firstLineChars="300"/>
        <w:jc w:val="both"/>
        <w:rPr>
          <w:rFonts w:hint="eastAsia"/>
          <w:b w:val="0"/>
          <w:bCs w:val="0"/>
          <w:sz w:val="20"/>
          <w:szCs w:val="22"/>
          <w:highlight w:val="none"/>
          <w:u w:val="none"/>
          <w:lang w:val="en-US" w:eastAsia="zh-CN"/>
        </w:rPr>
      </w:pPr>
      <w:r>
        <w:rPr>
          <w:rFonts w:hint="eastAsia"/>
          <w:b w:val="0"/>
          <w:bCs w:val="0"/>
          <w:sz w:val="20"/>
          <w:szCs w:val="22"/>
          <w:highlight w:val="none"/>
          <w:u w:val="none"/>
          <w:lang w:val="en-US" w:eastAsia="zh-CN"/>
        </w:rPr>
        <w:t>二是着手开展气候相关风险压力测试和研究工作，绘制金融体系内的气候风险传导途径，从金融体系、金融行业、金融机构不同层面评估气候变化的影响 ；鼓励相关部门和机构通过情景分析、敏感性分析、网络分析等方法，不断探索开发适于气候变化的压力测试模型。</w:t>
      </w:r>
    </w:p>
    <w:p>
      <w:pPr>
        <w:numPr>
          <w:ilvl w:val="0"/>
          <w:numId w:val="0"/>
        </w:numPr>
        <w:ind w:leftChars="0" w:firstLine="600" w:firstLineChars="300"/>
        <w:jc w:val="both"/>
        <w:rPr>
          <w:rFonts w:hint="eastAsia"/>
          <w:b w:val="0"/>
          <w:bCs w:val="0"/>
          <w:sz w:val="20"/>
          <w:szCs w:val="22"/>
          <w:highlight w:val="none"/>
          <w:u w:val="none"/>
          <w:lang w:val="en-US" w:eastAsia="zh-CN"/>
        </w:rPr>
      </w:pPr>
      <w:r>
        <w:rPr>
          <w:rFonts w:hint="eastAsia"/>
          <w:b w:val="0"/>
          <w:bCs w:val="0"/>
          <w:sz w:val="20"/>
          <w:szCs w:val="22"/>
          <w:highlight w:val="none"/>
          <w:u w:val="none"/>
          <w:lang w:val="en-US" w:eastAsia="zh-CN"/>
        </w:rPr>
        <w:t>三是在评估气候风险的基础上，完善宏微观审慎监管框架。通过调整现有监管工具、新设气候风险监管指标等手段， 对关键风险指标进行监控，引导金融机构可持续经营，维护金融稳定。</w:t>
      </w:r>
    </w:p>
    <w:p>
      <w:pPr>
        <w:numPr>
          <w:ilvl w:val="0"/>
          <w:numId w:val="0"/>
        </w:numPr>
        <w:ind w:leftChars="0" w:firstLine="600" w:firstLineChars="300"/>
        <w:jc w:val="both"/>
        <w:rPr>
          <w:rFonts w:hint="eastAsia"/>
          <w:b w:val="0"/>
          <w:bCs w:val="0"/>
          <w:sz w:val="20"/>
          <w:szCs w:val="22"/>
          <w:highlight w:val="none"/>
          <w:u w:val="none"/>
          <w:lang w:val="en-US" w:eastAsia="zh-CN"/>
        </w:rPr>
      </w:pPr>
      <w:r>
        <w:rPr>
          <w:rFonts w:hint="eastAsia"/>
          <w:b w:val="0"/>
          <w:bCs w:val="0"/>
          <w:sz w:val="20"/>
          <w:szCs w:val="22"/>
          <w:highlight w:val="none"/>
          <w:u w:val="none"/>
          <w:lang w:val="en-US" w:eastAsia="zh-CN"/>
        </w:rPr>
        <w:t>四是针对气候风险的不确定性，监管部门定期对气候风险的审慎监管成效进行评估和总结，动态调整审慎监管框架，避免审慎监管职能过度或不足。</w:t>
      </w:r>
    </w:p>
    <w:p>
      <w:pPr>
        <w:numPr>
          <w:ilvl w:val="0"/>
          <w:numId w:val="0"/>
        </w:numPr>
        <w:jc w:val="both"/>
        <w:rPr>
          <w:rFonts w:hint="default"/>
          <w:b/>
          <w:bCs/>
          <w:sz w:val="28"/>
          <w:szCs w:val="36"/>
          <w:highlight w:val="none"/>
          <w:u w:val="none"/>
          <w:lang w:val="en-US" w:eastAsia="zh-CN"/>
        </w:rPr>
      </w:pPr>
      <w:r>
        <w:rPr>
          <w:rFonts w:hint="eastAsia"/>
          <w:b/>
          <w:bCs/>
          <w:sz w:val="28"/>
          <w:szCs w:val="36"/>
          <w:highlight w:val="none"/>
          <w:u w:val="none"/>
          <w:lang w:val="en-US" w:eastAsia="zh-CN"/>
        </w:rPr>
        <w:t>国内外做法：</w:t>
      </w:r>
    </w:p>
    <w:p>
      <w:pPr>
        <w:numPr>
          <w:ilvl w:val="0"/>
          <w:numId w:val="0"/>
        </w:numPr>
        <w:jc w:val="both"/>
        <w:rPr>
          <w:rFonts w:hint="default"/>
          <w:sz w:val="20"/>
          <w:szCs w:val="22"/>
          <w:highlight w:val="none"/>
          <w:lang w:val="en-US" w:eastAsia="zh-CN"/>
        </w:rPr>
      </w:pPr>
      <w:r>
        <w:rPr>
          <w:rFonts w:hint="eastAsia"/>
          <w:sz w:val="24"/>
          <w:szCs w:val="32"/>
          <w:highlight w:val="green"/>
          <w:lang w:val="en-US" w:eastAsia="zh-CN"/>
        </w:rPr>
        <w:t>国外：</w:t>
      </w:r>
      <w:r>
        <w:rPr>
          <w:rFonts w:hint="eastAsia"/>
          <w:b/>
          <w:bCs/>
          <w:sz w:val="20"/>
          <w:szCs w:val="22"/>
          <w:highlight w:val="none"/>
          <w:u w:val="single"/>
          <w:lang w:val="en-US" w:eastAsia="zh-CN"/>
        </w:rPr>
        <w:t>荷兰央行</w:t>
      </w:r>
      <w:r>
        <w:rPr>
          <w:rFonts w:hint="eastAsia"/>
          <w:sz w:val="20"/>
          <w:szCs w:val="22"/>
          <w:highlight w:val="none"/>
          <w:lang w:val="en-US" w:eastAsia="zh-CN"/>
        </w:rPr>
        <w:t>是全球首个开展气候压力测试的中央银行，2018 年在压力测试模型中加入碳税政策调整和快速转型冲击两种气候变化情境，分析对 56 个行业经济部门的影响，结果显示低碳转型风险使金融机构发生 3%—11% 的资产损失。2019 年 12 月，</w:t>
      </w:r>
      <w:r>
        <w:rPr>
          <w:rFonts w:hint="eastAsia"/>
          <w:b/>
          <w:bCs/>
          <w:sz w:val="20"/>
          <w:szCs w:val="22"/>
          <w:highlight w:val="none"/>
          <w:u w:val="single"/>
          <w:lang w:val="en-US" w:eastAsia="zh-CN"/>
        </w:rPr>
        <w:t>英格兰银行</w:t>
      </w:r>
      <w:r>
        <w:rPr>
          <w:rFonts w:hint="eastAsia"/>
          <w:sz w:val="20"/>
          <w:szCs w:val="22"/>
          <w:highlight w:val="none"/>
          <w:lang w:val="en-US" w:eastAsia="zh-CN"/>
        </w:rPr>
        <w:t>测试大型银行和保险公司对气候变化风险的适应能力。2020 年 5 月，加拿大央行运用CGE 模型评估气候变化的经济金融影响。2020 年 11 月，</w:t>
      </w:r>
      <w:r>
        <w:rPr>
          <w:rFonts w:hint="eastAsia"/>
          <w:b/>
          <w:bCs/>
          <w:sz w:val="20"/>
          <w:szCs w:val="22"/>
          <w:highlight w:val="none"/>
          <w:u w:val="single"/>
          <w:lang w:val="en-US" w:eastAsia="zh-CN"/>
        </w:rPr>
        <w:t>欧央行</w:t>
      </w:r>
      <w:r>
        <w:rPr>
          <w:rFonts w:hint="eastAsia"/>
          <w:sz w:val="20"/>
          <w:szCs w:val="22"/>
          <w:highlight w:val="none"/>
          <w:lang w:val="en-US" w:eastAsia="zh-CN"/>
        </w:rPr>
        <w:t>制定气候风险宏观审慎分析框架；2021 年 3 月，对400 万家企业和银行机构开展气候压力测试。</w:t>
      </w:r>
      <w:r>
        <w:rPr>
          <w:rFonts w:hint="eastAsia"/>
          <w:b/>
          <w:bCs/>
          <w:sz w:val="20"/>
          <w:szCs w:val="22"/>
          <w:highlight w:val="none"/>
          <w:u w:val="single"/>
          <w:lang w:val="en-US" w:eastAsia="zh-CN"/>
        </w:rPr>
        <w:t>巴西中央银行</w:t>
      </w:r>
      <w:r>
        <w:rPr>
          <w:rFonts w:hint="eastAsia"/>
          <w:sz w:val="20"/>
          <w:szCs w:val="22"/>
          <w:highlight w:val="none"/>
          <w:lang w:val="en-US" w:eastAsia="zh-CN"/>
        </w:rPr>
        <w:t>是第一个让商业银行参与该领域的监管机构， 自 2011 年以来便要求银行进行环境和社会压力测试，并根据巴塞尔协议的资本充足率要求整合这些风险，并证明有足够的资本来应对这些风险。</w:t>
      </w:r>
      <w:r>
        <w:rPr>
          <w:rFonts w:hint="default"/>
          <w:b/>
          <w:bCs/>
          <w:sz w:val="20"/>
          <w:szCs w:val="22"/>
          <w:highlight w:val="none"/>
          <w:u w:val="single"/>
          <w:lang w:val="en-US" w:eastAsia="zh-CN"/>
        </w:rPr>
        <w:t>新加坡保险公司</w:t>
      </w:r>
      <w:r>
        <w:rPr>
          <w:rFonts w:hint="default"/>
          <w:sz w:val="20"/>
          <w:szCs w:val="22"/>
          <w:highlight w:val="none"/>
          <w:lang w:val="en-US" w:eastAsia="zh-CN"/>
        </w:rPr>
        <w:t>在全行业的压力测试中评估与气候变化和自然灾害有关的风险。</w:t>
      </w:r>
    </w:p>
    <w:p>
      <w:pPr>
        <w:numPr>
          <w:ilvl w:val="0"/>
          <w:numId w:val="0"/>
        </w:numPr>
        <w:jc w:val="both"/>
        <w:rPr>
          <w:rFonts w:hint="eastAsia"/>
          <w:sz w:val="20"/>
          <w:szCs w:val="22"/>
          <w:highlight w:val="none"/>
          <w:lang w:val="en-US" w:eastAsia="zh-CN"/>
        </w:rPr>
      </w:pPr>
      <w:r>
        <w:rPr>
          <w:rFonts w:hint="eastAsia"/>
          <w:sz w:val="28"/>
          <w:szCs w:val="36"/>
          <w:highlight w:val="green"/>
          <w:lang w:val="en-US" w:eastAsia="zh-CN"/>
        </w:rPr>
        <w:t>我国：</w:t>
      </w:r>
      <w:r>
        <w:rPr>
          <w:rFonts w:hint="eastAsia"/>
          <w:sz w:val="20"/>
          <w:szCs w:val="22"/>
          <w:highlight w:val="none"/>
          <w:lang w:val="en-US" w:eastAsia="zh-CN"/>
        </w:rPr>
        <w:t>2019 年，人民银行开展金融机构绿色信贷业绩评价工作，旨在提升金融支持绿色低碳转型和高质量发展的能力。2021 年 5 月，人民银行制发《银行业金融机构绿色金融评价方案》，将与气候变化相关的绿色金融纳入宏观审慎监管框架，对金融机构进行更加准确全面的调控引导。通过开展绿色评价，更加宏观地反映金融对绿色产业的支持效果，为货币政策支持低碳经济转型提供指引。</w:t>
      </w:r>
    </w:p>
    <w:p>
      <w:pPr>
        <w:numPr>
          <w:ilvl w:val="0"/>
          <w:numId w:val="0"/>
        </w:numPr>
        <w:ind w:firstLine="800" w:firstLineChars="400"/>
        <w:jc w:val="both"/>
        <w:rPr>
          <w:rFonts w:hint="eastAsia"/>
          <w:sz w:val="20"/>
          <w:szCs w:val="22"/>
          <w:highlight w:val="none"/>
          <w:lang w:val="en-US" w:eastAsia="zh-CN"/>
        </w:rPr>
      </w:pPr>
      <w:r>
        <w:rPr>
          <w:rFonts w:hint="eastAsia"/>
          <w:sz w:val="20"/>
          <w:szCs w:val="22"/>
          <w:highlight w:val="none"/>
          <w:lang w:val="en-US" w:eastAsia="zh-CN"/>
        </w:rPr>
        <w:t>2021年，人民银行组织全国23家主要银行开展第一阶段气候风险压力测试，针对火电、钢铁、水泥三个高碳行业，分析在引入碳排放付费机制的情况下，从现在到2030年相关企业因成本上升导致贷款违约概率上升，进而影响银行资本充足水平的情况。为保证审慎性，测试还假设行业无技术进步、单一企业对上下游均不具备议价能力、资不抵债企业无还款能力。在风险传导具体路径方面，人民银行按照“1套机器学习算法、21个行业模型”首次建立非金融企业违约概率的基础模型，参试银行采用内部评级模型，逐户、逐年测算企业违约变化。测试结果表明，如果火电、钢铁和水泥行业企业不进行低碳转型，在压力情景下，企业的还款能力将出现不同程度的下降。由于23家参试全国性银行火电、钢铁和水泥行业贷款占其全部贷款比重不高，因此其整体资本充足率在三种压力情景下均能满足监管要求。</w:t>
      </w:r>
    </w:p>
    <w:p>
      <w:pPr>
        <w:numPr>
          <w:ilvl w:val="0"/>
          <w:numId w:val="2"/>
        </w:numPr>
        <w:ind w:left="0" w:leftChars="0" w:firstLine="0" w:firstLineChars="0"/>
        <w:jc w:val="both"/>
        <w:rPr>
          <w:rFonts w:hint="eastAsia"/>
          <w:sz w:val="24"/>
          <w:szCs w:val="32"/>
          <w:highlight w:val="yellow"/>
          <w:lang w:val="en-US" w:eastAsia="zh-CN"/>
        </w:rPr>
      </w:pPr>
      <w:r>
        <w:rPr>
          <w:rFonts w:hint="eastAsia"/>
          <w:sz w:val="24"/>
          <w:szCs w:val="32"/>
          <w:highlight w:val="yellow"/>
          <w:lang w:val="en-US" w:eastAsia="zh-CN"/>
        </w:rPr>
        <w:t>统一规范气候信息披露，逐步弥补数据差距</w:t>
      </w:r>
    </w:p>
    <w:p>
      <w:pPr>
        <w:numPr>
          <w:ilvl w:val="0"/>
          <w:numId w:val="0"/>
        </w:numPr>
        <w:ind w:leftChars="0"/>
        <w:jc w:val="both"/>
        <w:rPr>
          <w:rFonts w:hint="eastAsia"/>
          <w:b/>
          <w:bCs/>
          <w:sz w:val="28"/>
          <w:szCs w:val="36"/>
          <w:highlight w:val="none"/>
          <w:lang w:val="en-US" w:eastAsia="zh-CN"/>
        </w:rPr>
      </w:pPr>
      <w:r>
        <w:rPr>
          <w:rFonts w:hint="eastAsia"/>
          <w:b/>
          <w:bCs/>
          <w:sz w:val="28"/>
          <w:szCs w:val="36"/>
          <w:highlight w:val="none"/>
          <w:lang w:val="en-US" w:eastAsia="zh-CN"/>
        </w:rPr>
        <w:t>理论：</w:t>
      </w: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t>一是建立国际公认的信息披露框架。在国际机构推动下，建立适于气候风险评估和采集的信息披露框架，明确相关指标的披露标准。在相关机构进行气候风险压力测试时，以国际公认的框架作为数据第一来源。</w:t>
      </w: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t>二是建立强制披露机制。在碳密集行业、金融机构等领域推行强制信息披露试点，按照国际公认的披露框架进行披露。总结信息披露过程中存在的问题，及时完善强制披露机制，逐步将所有与金融有业务关联的企业纳入强制披露范围，扩大气候信息数据来源。</w:t>
      </w:r>
    </w:p>
    <w:p>
      <w:pPr>
        <w:numPr>
          <w:ilvl w:val="0"/>
          <w:numId w:val="0"/>
        </w:numPr>
        <w:ind w:leftChars="0" w:firstLine="600" w:firstLineChars="300"/>
        <w:jc w:val="both"/>
        <w:rPr>
          <w:rFonts w:hint="default"/>
          <w:sz w:val="20"/>
          <w:szCs w:val="22"/>
          <w:highlight w:val="none"/>
          <w:lang w:val="en-US" w:eastAsia="zh-CN"/>
        </w:rPr>
      </w:pPr>
      <w:r>
        <w:rPr>
          <w:rFonts w:hint="eastAsia"/>
          <w:sz w:val="20"/>
          <w:szCs w:val="22"/>
          <w:highlight w:val="none"/>
          <w:lang w:val="en-US" w:eastAsia="zh-CN"/>
        </w:rPr>
        <w:t>三是开展气候信息数据质量的检查评估。一方面，由国际机构扎口评估不同国家气候信息披露水平，减轻高碳国家信息披露的压力 ；另一方面，由各国监管机构检查评估国内企业信息披露，对信息披露质量较差的企业采取针对性措施，提高数据披露质量。</w:t>
      </w:r>
    </w:p>
    <w:p>
      <w:pPr>
        <w:numPr>
          <w:ilvl w:val="0"/>
          <w:numId w:val="0"/>
        </w:numPr>
        <w:jc w:val="both"/>
        <w:rPr>
          <w:rFonts w:hint="default"/>
          <w:b/>
          <w:bCs/>
          <w:sz w:val="28"/>
          <w:szCs w:val="36"/>
          <w:highlight w:val="none"/>
          <w:lang w:val="en-US" w:eastAsia="zh-CN"/>
        </w:rPr>
      </w:pPr>
      <w:r>
        <w:rPr>
          <w:rFonts w:hint="eastAsia"/>
          <w:b/>
          <w:bCs/>
          <w:sz w:val="28"/>
          <w:szCs w:val="36"/>
          <w:highlight w:val="none"/>
          <w:lang w:val="en-US" w:eastAsia="zh-CN"/>
        </w:rPr>
        <w:t>国内外做法：</w:t>
      </w:r>
    </w:p>
    <w:p>
      <w:pPr>
        <w:numPr>
          <w:ilvl w:val="0"/>
          <w:numId w:val="0"/>
        </w:numPr>
        <w:jc w:val="both"/>
        <w:rPr>
          <w:rFonts w:hint="eastAsia"/>
          <w:sz w:val="20"/>
          <w:szCs w:val="22"/>
          <w:highlight w:val="none"/>
          <w:lang w:val="en-US" w:eastAsia="zh-CN"/>
        </w:rPr>
      </w:pPr>
      <w:r>
        <w:rPr>
          <w:rFonts w:hint="eastAsia"/>
          <w:sz w:val="28"/>
          <w:szCs w:val="36"/>
          <w:highlight w:val="green"/>
          <w:lang w:val="en-US" w:eastAsia="zh-CN"/>
        </w:rPr>
        <w:t>国外：</w:t>
      </w:r>
      <w:r>
        <w:rPr>
          <w:rFonts w:hint="eastAsia"/>
          <w:sz w:val="20"/>
          <w:szCs w:val="22"/>
          <w:highlight w:val="none"/>
          <w:lang w:val="en-US" w:eastAsia="zh-CN"/>
        </w:rPr>
        <w:t>2015 年 8 月，</w:t>
      </w:r>
      <w:r>
        <w:rPr>
          <w:rFonts w:hint="eastAsia"/>
          <w:b/>
          <w:bCs/>
          <w:sz w:val="20"/>
          <w:szCs w:val="22"/>
          <w:highlight w:val="none"/>
          <w:u w:val="single"/>
          <w:lang w:val="en-US" w:eastAsia="zh-CN"/>
        </w:rPr>
        <w:t>法国</w:t>
      </w:r>
      <w:r>
        <w:rPr>
          <w:rFonts w:hint="eastAsia"/>
          <w:sz w:val="20"/>
          <w:szCs w:val="22"/>
          <w:highlight w:val="none"/>
          <w:lang w:val="en-US" w:eastAsia="zh-CN"/>
        </w:rPr>
        <w:t>通过《绿色增长能源转型法》，其是世界上第一个对金融机构提出 ESG 信息披露要求的主要经济体。2018 年 12 月，</w:t>
      </w:r>
      <w:r>
        <w:rPr>
          <w:rFonts w:hint="eastAsia"/>
          <w:b/>
          <w:bCs/>
          <w:sz w:val="20"/>
          <w:szCs w:val="22"/>
          <w:highlight w:val="none"/>
          <w:u w:val="single"/>
          <w:lang w:val="en-US" w:eastAsia="zh-CN"/>
        </w:rPr>
        <w:t>新西兰储备银行</w:t>
      </w:r>
      <w:r>
        <w:rPr>
          <w:rFonts w:hint="eastAsia"/>
          <w:sz w:val="20"/>
          <w:szCs w:val="22"/>
          <w:highlight w:val="none"/>
          <w:lang w:val="en-US" w:eastAsia="zh-CN"/>
        </w:rPr>
        <w:t>制定气候变化战略，改进气候信息披露制度。2020年6月，</w:t>
      </w:r>
      <w:r>
        <w:rPr>
          <w:rFonts w:hint="eastAsia"/>
          <w:b/>
          <w:bCs/>
          <w:sz w:val="20"/>
          <w:szCs w:val="22"/>
          <w:highlight w:val="none"/>
          <w:u w:val="single"/>
          <w:lang w:val="en-US" w:eastAsia="zh-CN"/>
        </w:rPr>
        <w:t>英国审慎监管局（PRA）和英国金融市场行为监管局（FCA）</w:t>
      </w:r>
      <w:r>
        <w:rPr>
          <w:rFonts w:hint="eastAsia"/>
          <w:sz w:val="20"/>
          <w:szCs w:val="22"/>
          <w:highlight w:val="none"/>
          <w:lang w:val="en-US" w:eastAsia="zh-CN"/>
        </w:rPr>
        <w:t>共同发布金融机构气候风险信息披露指引。2020 年 11 月，</w:t>
      </w:r>
      <w:r>
        <w:rPr>
          <w:rFonts w:hint="eastAsia"/>
          <w:b/>
          <w:bCs/>
          <w:sz w:val="20"/>
          <w:szCs w:val="22"/>
          <w:highlight w:val="none"/>
          <w:u w:val="single"/>
          <w:lang w:val="en-US" w:eastAsia="zh-CN"/>
        </w:rPr>
        <w:t>欧洲央行</w:t>
      </w:r>
      <w:r>
        <w:rPr>
          <w:rFonts w:hint="eastAsia"/>
          <w:sz w:val="20"/>
          <w:szCs w:val="22"/>
          <w:highlight w:val="none"/>
          <w:lang w:val="en-US" w:eastAsia="zh-CN"/>
        </w:rPr>
        <w:t>发布重要金融机构气候和环境风险信息评估状况。</w:t>
      </w:r>
    </w:p>
    <w:p>
      <w:pPr>
        <w:numPr>
          <w:ilvl w:val="0"/>
          <w:numId w:val="0"/>
        </w:numPr>
        <w:jc w:val="both"/>
        <w:rPr>
          <w:rFonts w:hint="default"/>
          <w:sz w:val="20"/>
          <w:szCs w:val="22"/>
          <w:highlight w:val="none"/>
          <w:lang w:val="en-US" w:eastAsia="zh-CN"/>
        </w:rPr>
      </w:pPr>
      <w:r>
        <w:rPr>
          <w:rFonts w:hint="eastAsia"/>
          <w:sz w:val="28"/>
          <w:szCs w:val="36"/>
          <w:highlight w:val="green"/>
          <w:lang w:val="en-US" w:eastAsia="zh-CN"/>
        </w:rPr>
        <w:t>国内：</w:t>
      </w:r>
      <w:r>
        <w:rPr>
          <w:rFonts w:hint="eastAsia"/>
          <w:sz w:val="20"/>
          <w:szCs w:val="22"/>
          <w:highlight w:val="none"/>
          <w:lang w:val="en-US" w:eastAsia="zh-CN"/>
        </w:rPr>
        <w:t>2020 年 10 月，生态环境部联合人民银行等 4 部门，发布《关于促进应对气候变化投融资的指导意见》，对气候变化领域的人才、技术、资金等要素资源的投入提出指导性意见，并明确到 2022 年，营造良好的气候投融资发展政策环境，有序推进相关标准建设。在这一标准体系中，应对气候变化效益、气候信息披露、气候绩效评价等成为关键词。</w:t>
      </w:r>
    </w:p>
    <w:p>
      <w:pPr>
        <w:numPr>
          <w:ilvl w:val="0"/>
          <w:numId w:val="0"/>
        </w:numPr>
        <w:jc w:val="both"/>
        <w:rPr>
          <w:rFonts w:hint="default"/>
          <w:sz w:val="20"/>
          <w:szCs w:val="22"/>
          <w:highlight w:val="none"/>
          <w:lang w:val="en-US" w:eastAsia="zh-CN"/>
        </w:rPr>
      </w:pPr>
    </w:p>
    <w:p>
      <w:pPr>
        <w:numPr>
          <w:ilvl w:val="0"/>
          <w:numId w:val="2"/>
        </w:numPr>
        <w:ind w:left="0" w:leftChars="0" w:firstLine="0" w:firstLineChars="0"/>
        <w:jc w:val="both"/>
        <w:rPr>
          <w:rFonts w:hint="eastAsia"/>
          <w:sz w:val="24"/>
          <w:szCs w:val="32"/>
          <w:highlight w:val="yellow"/>
          <w:lang w:val="en-US" w:eastAsia="zh-CN"/>
        </w:rPr>
      </w:pPr>
      <w:r>
        <w:rPr>
          <w:rFonts w:hint="eastAsia"/>
          <w:sz w:val="24"/>
          <w:szCs w:val="32"/>
          <w:highlight w:val="yellow"/>
          <w:lang w:val="en-US" w:eastAsia="zh-CN"/>
        </w:rPr>
        <w:t>加强国际审慎监管合作，提高气候风险应对效率。</w:t>
      </w:r>
    </w:p>
    <w:p>
      <w:pPr>
        <w:numPr>
          <w:ilvl w:val="0"/>
          <w:numId w:val="0"/>
        </w:numPr>
        <w:ind w:leftChars="0"/>
        <w:jc w:val="both"/>
        <w:rPr>
          <w:rFonts w:hint="eastAsia"/>
          <w:b/>
          <w:bCs/>
          <w:sz w:val="28"/>
          <w:szCs w:val="36"/>
          <w:highlight w:val="green"/>
          <w:lang w:val="en-US" w:eastAsia="zh-CN"/>
        </w:rPr>
      </w:pPr>
      <w:r>
        <w:rPr>
          <w:rFonts w:hint="eastAsia"/>
          <w:b/>
          <w:bCs/>
          <w:sz w:val="28"/>
          <w:szCs w:val="36"/>
          <w:highlight w:val="green"/>
          <w:lang w:val="en-US" w:eastAsia="zh-CN"/>
        </w:rPr>
        <w:t xml:space="preserve"> 理论：</w:t>
      </w: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t>一是建立常态化的交流合作机制。鼓励各国央行、监管机构就气候风险监管问题开展经常性的讨论交流，分享气候风险审慎监管方面的经验做法，不断完善气候风险审慎监管制度。</w:t>
      </w: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t>二是探索建立统一的国际监管制度框架。鉴于协调统一全球审慎监管的难度，可在现有权威机构如金融稳定理事会（FBS）或 IMF 的基础上，赋予机构应对气候相关风险的金融职责 ；或成立一个新的国际机构，统一协调各国处理气候变化相关风险。一方面，统一的国际监管制度可以明确各国审慎监管职责，解决监管中的不平衡或冲突 ；另一方面，对各国应对气候风险的审慎监管成效进行评估和监督，推动全球监管成效统一提升。</w:t>
      </w: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t>三是建立应对气候风险的国际基金。根据全球审慎监管的需求，为气候脆弱国家或低碳转型提供资金支持。</w:t>
      </w:r>
    </w:p>
    <w:p>
      <w:pPr>
        <w:numPr>
          <w:ilvl w:val="0"/>
          <w:numId w:val="0"/>
        </w:numPr>
        <w:jc w:val="both"/>
        <w:rPr>
          <w:rFonts w:hint="default"/>
          <w:b/>
          <w:bCs/>
          <w:sz w:val="28"/>
          <w:szCs w:val="36"/>
          <w:highlight w:val="green"/>
          <w:lang w:val="en-US" w:eastAsia="zh-CN"/>
        </w:rPr>
      </w:pPr>
      <w:r>
        <w:rPr>
          <w:rFonts w:hint="eastAsia"/>
          <w:b/>
          <w:bCs/>
          <w:sz w:val="28"/>
          <w:szCs w:val="36"/>
          <w:highlight w:val="green"/>
          <w:lang w:val="en-US" w:eastAsia="zh-CN"/>
        </w:rPr>
        <w:t>做法：</w:t>
      </w:r>
    </w:p>
    <w:p>
      <w:pPr>
        <w:numPr>
          <w:ilvl w:val="0"/>
          <w:numId w:val="0"/>
        </w:numPr>
        <w:ind w:firstLine="400"/>
        <w:jc w:val="both"/>
        <w:rPr>
          <w:rFonts w:hint="eastAsia"/>
          <w:sz w:val="20"/>
          <w:szCs w:val="22"/>
          <w:lang w:val="en-US" w:eastAsia="zh-CN"/>
        </w:rPr>
      </w:pPr>
      <w:r>
        <w:rPr>
          <w:rFonts w:hint="eastAsia"/>
          <w:sz w:val="20"/>
          <w:szCs w:val="22"/>
          <w:lang w:val="en-US" w:eastAsia="zh-CN"/>
        </w:rPr>
        <w:t>2015 年，金融稳定理事会成立气候相关财务信息披露工作组（TCFD），至 2021 年 9 月已获得全球 88 个国家地区、超过 2300 家组织和机构的支持。2017年12月，法国、中国、英国等8个国家的中央银行和监管机构成立央行与监管机构绿色金融网络（NGFS），致力于加强各国中央银行和监管机构在气候风险与扩大绿色金融方面的工作，目前共有66个正式成员和13个观察成员。2018 年 3 月，欧盟委员会提出《可持续金融发展 10 项行动计划》；2019 年 6 月，提出碳活动分类标准，明确 67 类低碳和 9 类转型活动，公欧盟绿色债券标准。我国于 2018 年底提出《“一带一路”绿色投资原则》，鼓励金融机构在参与“一带一路”建设中充分了解 ESG风险、做好环境信息披露、运用绿色金融工具等，目前已有 39 家中外金融机构加入。</w:t>
      </w:r>
    </w:p>
    <w:p>
      <w:pPr>
        <w:numPr>
          <w:ilvl w:val="0"/>
          <w:numId w:val="0"/>
        </w:numPr>
        <w:jc w:val="both"/>
        <w:rPr>
          <w:rFonts w:hint="eastAsia"/>
          <w:sz w:val="20"/>
          <w:szCs w:val="22"/>
          <w:highlight w:val="none"/>
          <w:lang w:val="en-US" w:eastAsia="zh-CN"/>
        </w:rPr>
      </w:pPr>
    </w:p>
    <w:p>
      <w:pPr>
        <w:numPr>
          <w:ilvl w:val="0"/>
          <w:numId w:val="6"/>
        </w:numPr>
        <w:ind w:left="0" w:leftChars="0" w:firstLine="0" w:firstLineChars="0"/>
        <w:jc w:val="both"/>
        <w:outlineLvl w:val="0"/>
        <w:rPr>
          <w:rFonts w:hint="default"/>
          <w:b/>
          <w:bCs/>
          <w:sz w:val="28"/>
          <w:szCs w:val="36"/>
          <w:highlight w:val="none"/>
          <w:lang w:val="en-US" w:eastAsia="zh-CN"/>
        </w:rPr>
      </w:pPr>
      <w:bookmarkStart w:id="4" w:name="_Toc1219"/>
      <w:r>
        <w:rPr>
          <w:rFonts w:hint="default"/>
          <w:b/>
          <w:bCs/>
          <w:sz w:val="28"/>
          <w:szCs w:val="36"/>
          <w:highlight w:val="none"/>
          <w:lang w:val="en-US" w:eastAsia="zh-CN"/>
        </w:rPr>
        <w:t>中国央行应对气候风险的政策实践</w:t>
      </w:r>
      <w:bookmarkEnd w:id="4"/>
    </w:p>
    <w:p>
      <w:pPr>
        <w:numPr>
          <w:ilvl w:val="0"/>
          <w:numId w:val="0"/>
        </w:numPr>
        <w:ind w:leftChars="0"/>
        <w:jc w:val="both"/>
        <w:rPr>
          <w:rFonts w:hint="eastAsia"/>
          <w:sz w:val="20"/>
          <w:szCs w:val="22"/>
          <w:highlight w:val="none"/>
          <w:lang w:val="en-US" w:eastAsia="zh-CN"/>
        </w:rPr>
      </w:pPr>
      <w:r>
        <w:rPr>
          <w:rFonts w:hint="eastAsia"/>
          <w:sz w:val="20"/>
          <w:szCs w:val="22"/>
          <w:highlight w:val="none"/>
          <w:lang w:val="en-US" w:eastAsia="zh-CN"/>
        </w:rPr>
        <w:t xml:space="preserve">   近年来，党中央、国务院将生态文明建设不断推向新高度。2020 年 9 月 22 日，习近平总书记在第七十五届联合国大会一般性辩论上郑重宣布了我国碳达峰、碳中和“30·60”目标，即</w:t>
      </w:r>
      <w:r>
        <w:rPr>
          <w:rFonts w:hint="eastAsia"/>
          <w:b/>
          <w:bCs/>
          <w:color w:val="C00000"/>
          <w:sz w:val="20"/>
          <w:szCs w:val="22"/>
          <w:highlight w:val="none"/>
          <w:u w:val="single"/>
          <w:lang w:val="en-US" w:eastAsia="zh-CN"/>
        </w:rPr>
        <w:t>中国二氧化碳排放力争于 2030 年前达到峰值，努力争取 2060 年前实现碳中和。</w:t>
      </w:r>
      <w:r>
        <w:rPr>
          <w:rFonts w:hint="eastAsia"/>
          <w:sz w:val="20"/>
          <w:szCs w:val="22"/>
          <w:highlight w:val="none"/>
          <w:lang w:val="en-US" w:eastAsia="zh-CN"/>
        </w:rPr>
        <w:t>2021 年4 月 30 日，习近平总书记在主持中共中央政治局第二十九次集体学习时进一步强调，实现碳达峰、碳中和是一场广泛而深刻的经济社会变革，各级党委和政府要明确时间表、路线图、施工图，推动经济社会发展建立在资源高效利用和绿色低碳发展的基础之上。</w:t>
      </w:r>
    </w:p>
    <w:p>
      <w:pPr>
        <w:numPr>
          <w:ilvl w:val="0"/>
          <w:numId w:val="0"/>
        </w:numPr>
        <w:ind w:leftChars="0"/>
        <w:jc w:val="both"/>
        <w:rPr>
          <w:rFonts w:hint="default"/>
          <w:sz w:val="20"/>
          <w:szCs w:val="22"/>
          <w:highlight w:val="none"/>
          <w:lang w:val="en-US" w:eastAsia="zh-CN"/>
        </w:rPr>
      </w:pPr>
      <w:r>
        <w:rPr>
          <w:rFonts w:hint="eastAsia"/>
          <w:sz w:val="20"/>
          <w:szCs w:val="22"/>
          <w:highlight w:val="none"/>
          <w:lang w:val="en-US" w:eastAsia="zh-CN"/>
        </w:rPr>
        <w:t xml:space="preserve">   支持经济绿色转型、做好绿色发展金融支持工作，一直是我国中央银行的重要任务。 经过多年探索，确立了绿色金融发展思路，即充分发挥金融支持绿色低碳发展的资源配置、风险管理和市场定价“三大功能”， 探索形成了绿色金融体系 “五大支柱”，分别是绿色金融标准体系、金融机构监管和信息披露要求、激励约束机制、绿色金融产品和市场体系、绿色金融国际合作。 “三大功能”“五大支柱” 是金融部门有力支持“碳达峰、碳中和”的着力点。</w:t>
      </w:r>
    </w:p>
    <w:p>
      <w:pPr>
        <w:numPr>
          <w:ilvl w:val="0"/>
          <w:numId w:val="0"/>
        </w:numPr>
        <w:ind w:leftChars="0"/>
        <w:jc w:val="both"/>
        <w:rPr>
          <w:rFonts w:hint="eastAsia"/>
          <w:sz w:val="20"/>
          <w:szCs w:val="22"/>
          <w:highlight w:val="none"/>
          <w:lang w:val="en-US" w:eastAsia="zh-CN"/>
        </w:rPr>
      </w:pPr>
      <w:r>
        <w:rPr>
          <w:rFonts w:hint="eastAsia"/>
          <w:sz w:val="20"/>
          <w:szCs w:val="22"/>
          <w:highlight w:val="none"/>
          <w:lang w:val="en-US" w:eastAsia="zh-CN"/>
        </w:rPr>
        <w:t xml:space="preserve">   2016 年， 中国人民银行牵头制定并实施《关于构建绿色金融体系的指导意见》（银发〔2016〕228号，下称《意见》），这是全球首个由中央政府部门制定的绿色金融政策框架。国际非盈利组织“积极货币”发布报告显示，截至目前，中国人民银行在 G20 央行中被评为“最绿色”的央行，表明中国人民银行在采取政策措施、大力支持绿色金融转型方面走在了世界前列。</w:t>
      </w:r>
    </w:p>
    <w:p>
      <w:pPr>
        <w:numPr>
          <w:ilvl w:val="0"/>
          <w:numId w:val="0"/>
        </w:numPr>
        <w:ind w:leftChars="0"/>
        <w:jc w:val="both"/>
        <w:rPr>
          <w:rFonts w:hint="default"/>
          <w:sz w:val="20"/>
          <w:szCs w:val="22"/>
          <w:highlight w:val="none"/>
          <w:lang w:val="en-US" w:eastAsia="zh-CN"/>
        </w:rPr>
      </w:pPr>
      <w:r>
        <w:rPr>
          <w:rFonts w:hint="eastAsia"/>
          <w:sz w:val="20"/>
          <w:szCs w:val="22"/>
          <w:highlight w:val="none"/>
          <w:lang w:val="en-US" w:eastAsia="zh-CN"/>
        </w:rPr>
        <w:t xml:space="preserve">    所谓</w:t>
      </w:r>
      <w:r>
        <w:rPr>
          <w:rFonts w:hint="eastAsia"/>
          <w:sz w:val="20"/>
          <w:szCs w:val="22"/>
          <w:highlight w:val="green"/>
          <w:lang w:val="en-US" w:eastAsia="zh-CN"/>
        </w:rPr>
        <w:t>“三大功能”，</w:t>
      </w:r>
      <w:r>
        <w:rPr>
          <w:rFonts w:hint="eastAsia"/>
          <w:sz w:val="20"/>
          <w:szCs w:val="22"/>
          <w:highlight w:val="none"/>
          <w:lang w:val="en-US" w:eastAsia="zh-CN"/>
        </w:rPr>
        <w:t>主要是指充分发挥金融支持绿色发展的资源配置、风险管理和市场定价三大功能。一是通过货币政策、信贷政策、监管政策、强制披露、绿色评价、行业自律、产品创新等，引导和撬动金融资源向低碳项目、绿色转型项目、碳捕集与封存等绿色创新项目倾斜。二是通过气候风险压力测试、环境和气候风险分析、绿色和棕色资产风险权重调整等工具，增强金融体系管理气候变化相关风险的能力。三是推动建设全国碳排放权交易市场，发展碳期货等衍生产品，通过交易为排碳合理定价。</w:t>
      </w:r>
    </w:p>
    <w:p>
      <w:pPr>
        <w:numPr>
          <w:ilvl w:val="0"/>
          <w:numId w:val="0"/>
        </w:numPr>
        <w:ind w:leftChars="0"/>
        <w:jc w:val="both"/>
        <w:rPr>
          <w:rFonts w:hint="default"/>
          <w:sz w:val="20"/>
          <w:szCs w:val="22"/>
          <w:highlight w:val="none"/>
          <w:lang w:val="en-US" w:eastAsia="zh-CN"/>
        </w:rPr>
      </w:pPr>
      <w:r>
        <w:rPr>
          <w:rFonts w:hint="eastAsia"/>
          <w:sz w:val="20"/>
          <w:szCs w:val="22"/>
          <w:highlight w:val="none"/>
          <w:lang w:val="en-US" w:eastAsia="zh-CN"/>
        </w:rPr>
        <w:t xml:space="preserve">    要发挥好这“三大功能”，我们认为，有必要进一步完善绿色金融体系</w:t>
      </w:r>
      <w:r>
        <w:rPr>
          <w:rFonts w:hint="eastAsia"/>
          <w:sz w:val="20"/>
          <w:szCs w:val="22"/>
          <w:highlight w:val="green"/>
          <w:lang w:val="en-US" w:eastAsia="zh-CN"/>
        </w:rPr>
        <w:t>“五大支柱”</w:t>
      </w:r>
      <w:r>
        <w:rPr>
          <w:rFonts w:hint="eastAsia"/>
          <w:sz w:val="20"/>
          <w:szCs w:val="22"/>
          <w:highlight w:val="none"/>
          <w:lang w:val="en-US" w:eastAsia="zh-CN"/>
        </w:rPr>
        <w:t>。</w:t>
      </w:r>
    </w:p>
    <w:p>
      <w:pPr>
        <w:numPr>
          <w:ilvl w:val="0"/>
          <w:numId w:val="0"/>
        </w:numPr>
        <w:ind w:leftChars="0"/>
        <w:jc w:val="both"/>
        <w:rPr>
          <w:rFonts w:hint="eastAsia"/>
          <w:sz w:val="20"/>
          <w:szCs w:val="22"/>
          <w:highlight w:val="cyan"/>
          <w:lang w:val="en-US" w:eastAsia="zh-CN"/>
        </w:rPr>
      </w:pPr>
      <w:r>
        <w:rPr>
          <w:rFonts w:hint="eastAsia"/>
          <w:sz w:val="20"/>
          <w:szCs w:val="22"/>
          <w:highlight w:val="cyan"/>
          <w:lang w:val="en-US" w:eastAsia="zh-CN"/>
        </w:rPr>
        <w:t>支柱一：绿色金融标准体系。</w:t>
      </w:r>
    </w:p>
    <w:p>
      <w:pPr>
        <w:numPr>
          <w:ilvl w:val="0"/>
          <w:numId w:val="0"/>
        </w:numPr>
        <w:ind w:leftChars="0" w:firstLine="400" w:firstLineChars="200"/>
        <w:jc w:val="both"/>
        <w:rPr>
          <w:rFonts w:hint="eastAsia"/>
          <w:sz w:val="20"/>
          <w:szCs w:val="22"/>
          <w:highlight w:val="none"/>
          <w:lang w:val="en-US" w:eastAsia="zh-CN"/>
        </w:rPr>
      </w:pPr>
      <w:r>
        <w:rPr>
          <w:rFonts w:hint="eastAsia"/>
          <w:sz w:val="20"/>
          <w:szCs w:val="22"/>
          <w:highlight w:val="none"/>
          <w:lang w:val="en-US" w:eastAsia="zh-CN"/>
        </w:rPr>
        <w:t>绿色金融标准体系加快构建。人民银行遵循“国内统一、国际接轨”原则，重点聚焦气候变化、污染治理和节能减排三大领域，不断完善绿色金融标准体系。目前，绿色金融统计制度逐步完善，多项绿色金融标准制定取得重大进展，中欧绿色金融标准对照研究工作即将完成，为规范绿色金融业务、确保绿色金融实现商业可持续性、推动经济社会绿色发展提供了重要保障。</w:t>
      </w:r>
    </w:p>
    <w:p>
      <w:pPr>
        <w:numPr>
          <w:ilvl w:val="0"/>
          <w:numId w:val="0"/>
        </w:numPr>
        <w:ind w:leftChars="0" w:firstLine="400" w:firstLineChars="200"/>
        <w:jc w:val="both"/>
        <w:rPr>
          <w:rFonts w:hint="eastAsia"/>
          <w:sz w:val="20"/>
          <w:szCs w:val="22"/>
          <w:highlight w:val="none"/>
          <w:lang w:val="en-US" w:eastAsia="zh-CN"/>
        </w:rPr>
      </w:pPr>
      <w:r>
        <w:rPr>
          <w:rFonts w:hint="eastAsia"/>
          <w:sz w:val="20"/>
          <w:szCs w:val="22"/>
          <w:highlight w:val="none"/>
          <w:lang w:val="en-US" w:eastAsia="zh-CN"/>
        </w:rPr>
        <w:t>我国一直致力于建立一个国内统一、国际接轨的绿色金融标准体系，对绿色信贷、绿色债券、绿色信托等金融业务进行核算，在此基础上进行绿色金融业绩评价，引导和激励金融体系以市场化方式支持绿色投融资活动。</w:t>
      </w:r>
    </w:p>
    <w:p>
      <w:pPr>
        <w:numPr>
          <w:ilvl w:val="0"/>
          <w:numId w:val="0"/>
        </w:numPr>
        <w:ind w:leftChars="0"/>
        <w:jc w:val="both"/>
        <w:rPr>
          <w:rFonts w:hint="eastAsia"/>
          <w:sz w:val="20"/>
          <w:szCs w:val="22"/>
          <w:highlight w:val="cyan"/>
          <w:lang w:val="en-US" w:eastAsia="zh-CN"/>
        </w:rPr>
      </w:pPr>
      <w:r>
        <w:rPr>
          <w:rFonts w:hint="eastAsia"/>
          <w:sz w:val="20"/>
          <w:szCs w:val="22"/>
          <w:highlight w:val="cyan"/>
          <w:lang w:val="en-US" w:eastAsia="zh-CN"/>
        </w:rPr>
        <w:t>支柱二：金融机构监管和信息披露要求。</w:t>
      </w:r>
    </w:p>
    <w:p>
      <w:pPr>
        <w:numPr>
          <w:ilvl w:val="0"/>
          <w:numId w:val="0"/>
        </w:numPr>
        <w:ind w:leftChars="0" w:firstLine="400" w:firstLineChars="200"/>
        <w:jc w:val="both"/>
        <w:rPr>
          <w:rFonts w:hint="eastAsia"/>
          <w:sz w:val="20"/>
          <w:szCs w:val="22"/>
          <w:highlight w:val="none"/>
          <w:lang w:val="en-US" w:eastAsia="zh-CN"/>
        </w:rPr>
      </w:pPr>
      <w:r>
        <w:rPr>
          <w:rFonts w:hint="eastAsia"/>
          <w:sz w:val="20"/>
          <w:szCs w:val="22"/>
          <w:highlight w:val="none"/>
          <w:lang w:val="en-US" w:eastAsia="zh-CN"/>
        </w:rPr>
        <w:t>持续推动金融机构、证券发行人、公共部门分类提升环境信息披露的强制性和规范性。中英金融机构气候与环境信息披露试点工作不断推进，试点经验已具备复制推广价值。人民银行组织研发的绿色金融信息管理系统，实现了监管部门与金融机构信息直连，提升了绿色金融业务监管的有效性。</w:t>
      </w:r>
    </w:p>
    <w:p>
      <w:pPr>
        <w:numPr>
          <w:ilvl w:val="0"/>
          <w:numId w:val="0"/>
        </w:numPr>
        <w:ind w:leftChars="0" w:firstLine="400" w:firstLineChars="200"/>
        <w:jc w:val="both"/>
        <w:rPr>
          <w:rFonts w:hint="eastAsia"/>
          <w:sz w:val="20"/>
          <w:szCs w:val="22"/>
          <w:highlight w:val="none"/>
          <w:lang w:val="en-US" w:eastAsia="zh-CN"/>
        </w:rPr>
      </w:pPr>
      <w:r>
        <w:rPr>
          <w:rFonts w:hint="eastAsia"/>
          <w:sz w:val="20"/>
          <w:szCs w:val="22"/>
          <w:highlight w:val="none"/>
          <w:lang w:val="en-US" w:eastAsia="zh-CN"/>
        </w:rPr>
        <w:t>首先，中英双方积极推动两国金融机构共同开展气候环境信息披露试点，已有 15 家金融机构参与，中国人民银行和英格兰银行全程给予指导。其次，组织研发绿色金融信息管理系统，实现监管部门与金融机构直连，金融机构目前需披露银行间市场绿色金融债、报告绿色信贷的资金使用情况和投向。其次，组织研发绿色金融信息管理系统，实现监管部门与金融机构直连，金融机构目前需披露银行间市场绿色金融债、报告绿色信贷的资金使用情况和投向。</w:t>
      </w:r>
    </w:p>
    <w:p>
      <w:pPr>
        <w:numPr>
          <w:ilvl w:val="0"/>
          <w:numId w:val="0"/>
        </w:numPr>
        <w:ind w:leftChars="0"/>
        <w:jc w:val="both"/>
        <w:rPr>
          <w:rFonts w:hint="eastAsia"/>
          <w:sz w:val="20"/>
          <w:szCs w:val="22"/>
          <w:highlight w:val="cyan"/>
          <w:lang w:val="en-US" w:eastAsia="zh-CN"/>
        </w:rPr>
      </w:pPr>
      <w:r>
        <w:rPr>
          <w:rFonts w:hint="eastAsia"/>
          <w:sz w:val="20"/>
          <w:szCs w:val="22"/>
          <w:highlight w:val="cyan"/>
          <w:lang w:val="en-US" w:eastAsia="zh-CN"/>
        </w:rPr>
        <w:t>支柱三：政策激励约束体系。</w:t>
      </w:r>
    </w:p>
    <w:p>
      <w:pPr>
        <w:numPr>
          <w:ilvl w:val="0"/>
          <w:numId w:val="0"/>
        </w:numPr>
        <w:ind w:leftChars="0"/>
        <w:jc w:val="both"/>
        <w:rPr>
          <w:rFonts w:hint="eastAsia"/>
          <w:sz w:val="20"/>
          <w:szCs w:val="22"/>
          <w:highlight w:val="none"/>
          <w:lang w:val="en-US" w:eastAsia="zh-CN"/>
        </w:rPr>
      </w:pPr>
      <w:r>
        <w:rPr>
          <w:rFonts w:hint="eastAsia"/>
          <w:sz w:val="20"/>
          <w:szCs w:val="22"/>
          <w:highlight w:val="none"/>
          <w:lang w:val="en-US" w:eastAsia="zh-CN"/>
        </w:rPr>
        <w:t xml:space="preserve">     人民银行综合运用差别存款准备金、再贷款和再贴现、抵押补充贷款等货币政策工具，激励金融机构为碳减排提供资金支持。实施将绿色债券、绿色信贷资产纳入央行合格抵押品范围等政策，用好货币政策结构性工具，形成一揽子货币政策工具及政策框架组合，引导金融机构按市场化原则向低碳经济转型。</w:t>
      </w:r>
    </w:p>
    <w:p>
      <w:pPr>
        <w:numPr>
          <w:ilvl w:val="0"/>
          <w:numId w:val="0"/>
        </w:numPr>
        <w:ind w:firstLine="400" w:firstLineChars="200"/>
        <w:jc w:val="both"/>
        <w:rPr>
          <w:rFonts w:hint="eastAsia"/>
          <w:sz w:val="20"/>
          <w:szCs w:val="22"/>
          <w:highlight w:val="none"/>
          <w:lang w:val="en-US" w:eastAsia="zh-CN"/>
        </w:rPr>
      </w:pPr>
      <w:r>
        <w:rPr>
          <w:rFonts w:hint="eastAsia"/>
          <w:sz w:val="20"/>
          <w:szCs w:val="22"/>
          <w:highlight w:val="none"/>
          <w:lang w:val="en-US" w:eastAsia="zh-CN"/>
        </w:rPr>
        <w:t>通过绿色金融业绩评价、贴息奖补等政策，引导金融机构增加绿色资产配置、强化环境风险管理，有利于提升金融业支持绿色低碳发展的能力。</w:t>
      </w:r>
    </w:p>
    <w:p>
      <w:pPr>
        <w:numPr>
          <w:ilvl w:val="0"/>
          <w:numId w:val="0"/>
        </w:numPr>
        <w:ind w:firstLine="400" w:firstLineChars="200"/>
        <w:jc w:val="both"/>
        <w:rPr>
          <w:rFonts w:hint="default"/>
          <w:sz w:val="20"/>
          <w:szCs w:val="22"/>
          <w:highlight w:val="none"/>
          <w:lang w:val="en-US" w:eastAsia="zh-CN"/>
        </w:rPr>
      </w:pPr>
      <w:r>
        <w:rPr>
          <w:rFonts w:hint="eastAsia"/>
          <w:sz w:val="20"/>
          <w:szCs w:val="22"/>
          <w:highlight w:val="none"/>
          <w:lang w:val="en-US" w:eastAsia="zh-CN"/>
        </w:rPr>
        <w:t>一是按季度对银行开展全方位的绿色金融业绩评价，评价结果用于内部评级，为政策制定提供依据。 二是将绿色债券和绿色信贷纳入央行贷款便利的合格抵押品范围，引导金融机构增加绿色资产配置。 三是逐步完善环境执法信息主动采集机制， 在六省（区）九地建立绿色金融改革创新试验区，对金融机构开展信息披露以及为绿色债券、绿色信贷等金融业务提供支持。绿色金融改革创新试验区绿色贷款余额占其全部贷款余额的比重高于全国平均水平 4 个百分点。</w:t>
      </w:r>
    </w:p>
    <w:p>
      <w:pPr>
        <w:numPr>
          <w:ilvl w:val="0"/>
          <w:numId w:val="0"/>
        </w:numPr>
        <w:ind w:leftChars="0"/>
        <w:jc w:val="both"/>
        <w:rPr>
          <w:rFonts w:hint="eastAsia"/>
          <w:sz w:val="20"/>
          <w:szCs w:val="22"/>
          <w:highlight w:val="cyan"/>
          <w:lang w:val="en-US" w:eastAsia="zh-CN"/>
        </w:rPr>
      </w:pPr>
      <w:r>
        <w:rPr>
          <w:rFonts w:hint="eastAsia"/>
          <w:sz w:val="20"/>
          <w:szCs w:val="22"/>
          <w:highlight w:val="cyan"/>
          <w:lang w:val="en-US" w:eastAsia="zh-CN"/>
        </w:rPr>
        <w:t>支柱四：绿色金融产品和市场体系。</w:t>
      </w:r>
    </w:p>
    <w:p>
      <w:pPr>
        <w:numPr>
          <w:ilvl w:val="0"/>
          <w:numId w:val="0"/>
        </w:numPr>
        <w:ind w:leftChars="0"/>
        <w:jc w:val="both"/>
        <w:rPr>
          <w:rFonts w:hint="eastAsia"/>
          <w:sz w:val="20"/>
          <w:szCs w:val="22"/>
          <w:highlight w:val="none"/>
          <w:lang w:val="en-US" w:eastAsia="zh-CN"/>
        </w:rPr>
      </w:pPr>
      <w:r>
        <w:rPr>
          <w:rFonts w:hint="eastAsia"/>
          <w:sz w:val="20"/>
          <w:szCs w:val="22"/>
          <w:highlight w:val="none"/>
          <w:lang w:val="en-US" w:eastAsia="zh-CN"/>
        </w:rPr>
        <w:t xml:space="preserve">     通过鼓励产品创新、完善发行制度、规范交易流程、提升透明度，我国目前已形成多层次绿色金融产品和市场体系，下一步将继续推动产品创新和市场稳健发展。</w:t>
      </w:r>
    </w:p>
    <w:p>
      <w:pPr>
        <w:numPr>
          <w:ilvl w:val="0"/>
          <w:numId w:val="0"/>
        </w:numPr>
        <w:ind w:leftChars="0" w:firstLine="600" w:firstLineChars="300"/>
        <w:jc w:val="both"/>
        <w:rPr>
          <w:rFonts w:hint="default"/>
          <w:sz w:val="20"/>
          <w:szCs w:val="22"/>
          <w:highlight w:val="none"/>
          <w:lang w:val="en-US" w:eastAsia="zh-CN"/>
        </w:rPr>
      </w:pPr>
      <w:r>
        <w:rPr>
          <w:rFonts w:hint="eastAsia"/>
          <w:sz w:val="20"/>
          <w:szCs w:val="22"/>
          <w:highlight w:val="none"/>
          <w:lang w:val="en-US" w:eastAsia="zh-CN"/>
        </w:rPr>
        <w:t>当前我国已形成绿色信贷、绿色债券、绿色保险、绿色基金、绿色信托等多层次绿色金融产品和市场体系，合理动员金融资源支持绿色低碳项目。我国绿色金融产品在国际上趋于领先地位，绿色金融资产总体质量良好，不良率仅为 0.33%，绿色债券尚无违约案例。</w:t>
      </w:r>
      <w:r>
        <w:rPr>
          <w:rFonts w:hint="default"/>
          <w:sz w:val="20"/>
          <w:szCs w:val="22"/>
          <w:highlight w:val="none"/>
          <w:lang w:val="en-US" w:eastAsia="zh-CN"/>
        </w:rPr>
        <w:drawing>
          <wp:inline distT="0" distB="0" distL="114300" distR="114300">
            <wp:extent cx="5272405" cy="2214245"/>
            <wp:effectExtent l="0" t="0" r="635" b="10795"/>
            <wp:docPr id="7" name="图片 7" descr="QQ图片2022031521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图片20220315213548"/>
                    <pic:cNvPicPr>
                      <a:picLocks noChangeAspect="1"/>
                    </pic:cNvPicPr>
                  </pic:nvPicPr>
                  <pic:blipFill>
                    <a:blip r:embed="rId7"/>
                    <a:stretch>
                      <a:fillRect/>
                    </a:stretch>
                  </pic:blipFill>
                  <pic:spPr>
                    <a:xfrm>
                      <a:off x="0" y="0"/>
                      <a:ext cx="5272405" cy="2214245"/>
                    </a:xfrm>
                    <a:prstGeom prst="rect">
                      <a:avLst/>
                    </a:prstGeom>
                  </pic:spPr>
                </pic:pic>
              </a:graphicData>
            </a:graphic>
          </wp:inline>
        </w:drawing>
      </w:r>
    </w:p>
    <w:p>
      <w:pPr>
        <w:numPr>
          <w:ilvl w:val="0"/>
          <w:numId w:val="0"/>
        </w:numPr>
        <w:ind w:leftChars="0"/>
        <w:jc w:val="both"/>
        <w:rPr>
          <w:rFonts w:hint="eastAsia"/>
          <w:sz w:val="20"/>
          <w:szCs w:val="22"/>
          <w:highlight w:val="cyan"/>
          <w:lang w:val="en-US" w:eastAsia="zh-CN"/>
        </w:rPr>
      </w:pPr>
      <w:r>
        <w:rPr>
          <w:rFonts w:hint="eastAsia"/>
          <w:sz w:val="20"/>
          <w:szCs w:val="22"/>
          <w:highlight w:val="cyan"/>
          <w:lang w:val="en-US" w:eastAsia="zh-CN"/>
        </w:rPr>
        <w:t>支柱五：绿色金融国际合作</w:t>
      </w:r>
    </w:p>
    <w:p>
      <w:pPr>
        <w:numPr>
          <w:ilvl w:val="0"/>
          <w:numId w:val="0"/>
        </w:numPr>
        <w:ind w:leftChars="0"/>
        <w:jc w:val="both"/>
        <w:rPr>
          <w:rFonts w:hint="eastAsia"/>
          <w:sz w:val="20"/>
          <w:szCs w:val="22"/>
          <w:highlight w:val="none"/>
          <w:lang w:val="en-US" w:eastAsia="zh-CN"/>
        </w:rPr>
      </w:pPr>
      <w:r>
        <w:rPr>
          <w:rFonts w:hint="eastAsia"/>
          <w:sz w:val="20"/>
          <w:szCs w:val="22"/>
          <w:highlight w:val="none"/>
          <w:lang w:val="en-US" w:eastAsia="zh-CN"/>
        </w:rPr>
        <w:t xml:space="preserve">      在绿色金融国际合作方面，我国积极利用各类多双边平台及合作机制推动绿色金融合作和国际交流，提升了国际社会对我国绿色金融政策、标准、产品、市场的认可和参与程度。</w:t>
      </w: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t>我国广泛参与多边、区域、双边相关国际交流合作，除 G20 外，我国还参与发起设立央行与监管机构绿色金融网络（NGFS），成员迅速增加。我国作为创始成员，在其中拥有较大的影响力。同时，我国于 2018 年底提出《“一带一路”绿色投资原则》，鼓励金融机构在参与“一带一路”建设中充分了解 ESG风险、做好环境信息披露、运用绿色金融工具等，目前已有 39 家中外金融机构加入。</w:t>
      </w:r>
    </w:p>
    <w:p>
      <w:pPr>
        <w:numPr>
          <w:ilvl w:val="0"/>
          <w:numId w:val="0"/>
        </w:numPr>
        <w:ind w:leftChars="0" w:firstLine="600" w:firstLineChars="300"/>
        <w:jc w:val="both"/>
        <w:rPr>
          <w:rFonts w:hint="eastAsia"/>
          <w:sz w:val="20"/>
          <w:szCs w:val="22"/>
          <w:highlight w:val="none"/>
          <w:lang w:val="en-US" w:eastAsia="zh-CN"/>
        </w:rPr>
      </w:pPr>
    </w:p>
    <w:p>
      <w:pPr>
        <w:numPr>
          <w:ilvl w:val="0"/>
          <w:numId w:val="0"/>
        </w:numPr>
        <w:ind w:leftChars="0" w:firstLine="600" w:firstLineChars="300"/>
        <w:jc w:val="both"/>
        <w:rPr>
          <w:rFonts w:hint="eastAsia"/>
          <w:sz w:val="20"/>
          <w:szCs w:val="22"/>
          <w:highlight w:val="none"/>
          <w:lang w:val="en-US" w:eastAsia="zh-CN"/>
        </w:rPr>
      </w:pPr>
      <w:r>
        <w:rPr>
          <w:rFonts w:hint="eastAsia"/>
          <w:sz w:val="20"/>
          <w:szCs w:val="22"/>
          <w:highlight w:val="none"/>
          <w:lang w:val="en-US" w:eastAsia="zh-CN"/>
        </w:rPr>
        <w:drawing>
          <wp:inline distT="0" distB="0" distL="114300" distR="114300">
            <wp:extent cx="5272405" cy="2677795"/>
            <wp:effectExtent l="0" t="0" r="635" b="4445"/>
            <wp:docPr id="8" name="图片 8" descr="QQ图片2022031521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220315214508"/>
                    <pic:cNvPicPr>
                      <a:picLocks noChangeAspect="1"/>
                    </pic:cNvPicPr>
                  </pic:nvPicPr>
                  <pic:blipFill>
                    <a:blip r:embed="rId8"/>
                    <a:stretch>
                      <a:fillRect/>
                    </a:stretch>
                  </pic:blipFill>
                  <pic:spPr>
                    <a:xfrm>
                      <a:off x="0" y="0"/>
                      <a:ext cx="5272405" cy="2677795"/>
                    </a:xfrm>
                    <a:prstGeom prst="rect">
                      <a:avLst/>
                    </a:prstGeom>
                  </pic:spPr>
                </pic:pic>
              </a:graphicData>
            </a:graphic>
          </wp:inline>
        </w:drawing>
      </w:r>
    </w:p>
    <w:p>
      <w:pPr>
        <w:numPr>
          <w:ilvl w:val="0"/>
          <w:numId w:val="0"/>
        </w:numPr>
        <w:ind w:leftChars="0"/>
        <w:jc w:val="both"/>
        <w:rPr>
          <w:rFonts w:hint="eastAsia"/>
          <w:sz w:val="20"/>
          <w:szCs w:val="22"/>
          <w:highlight w:val="none"/>
          <w:lang w:val="en-US" w:eastAsia="zh-CN"/>
        </w:rPr>
      </w:pPr>
      <w:r>
        <w:rPr>
          <w:rFonts w:hint="eastAsia"/>
          <w:sz w:val="20"/>
          <w:szCs w:val="22"/>
          <w:highlight w:val="none"/>
          <w:lang w:val="en-US" w:eastAsia="zh-CN"/>
        </w:rPr>
        <w:t xml:space="preserve">      </w:t>
      </w:r>
    </w:p>
    <w:p>
      <w:pPr>
        <w:numPr>
          <w:ilvl w:val="0"/>
          <w:numId w:val="0"/>
        </w:numPr>
        <w:ind w:leftChars="0"/>
        <w:jc w:val="both"/>
        <w:rPr>
          <w:rFonts w:hint="eastAsia"/>
          <w:sz w:val="24"/>
          <w:szCs w:val="32"/>
          <w:highlight w:val="yellow"/>
          <w:lang w:val="en-US" w:eastAsia="zh-CN"/>
        </w:rPr>
      </w:pPr>
      <w:r>
        <w:rPr>
          <w:rFonts w:hint="eastAsia"/>
          <w:sz w:val="24"/>
          <w:szCs w:val="32"/>
          <w:highlight w:val="yellow"/>
          <w:lang w:val="en-US" w:eastAsia="zh-CN"/>
        </w:rPr>
        <w:t xml:space="preserve">    我国实现碳中和目标仍然任重道远</w:t>
      </w:r>
    </w:p>
    <w:p>
      <w:pPr>
        <w:tabs>
          <w:tab w:val="left" w:pos="84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一是经济面临保持较高增速与绿色转型双重目标的挑战。相较世界其他主要经济体而言，欧、美各国基本已在 2010 年前实现碳达峰，从碳达峰到碳中和至少有 50 年过渡期，法国、德国过渡期长达 70 年，而中国仅有 30 年时间，过渡期非常短（见表 1）。此外，欧、美各国基本已实现高度工业化，而中国仍处于中高速发展阶段，这对我国碳达峰、碳中和目标的实现形成不小的挑战。</w:t>
      </w:r>
    </w:p>
    <w:p>
      <w:p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drawing>
          <wp:inline distT="0" distB="0" distL="114300" distR="114300">
            <wp:extent cx="5267325" cy="2419350"/>
            <wp:effectExtent l="0" t="0" r="5715" b="3810"/>
            <wp:docPr id="9" name="图片 9" descr="QQ图片2022031521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220315214722"/>
                    <pic:cNvPicPr>
                      <a:picLocks noChangeAspect="1"/>
                    </pic:cNvPicPr>
                  </pic:nvPicPr>
                  <pic:blipFill>
                    <a:blip r:embed="rId9"/>
                    <a:stretch>
                      <a:fillRect/>
                    </a:stretch>
                  </pic:blipFill>
                  <pic:spPr>
                    <a:xfrm>
                      <a:off x="0" y="0"/>
                      <a:ext cx="5267325" cy="2419350"/>
                    </a:xfrm>
                    <a:prstGeom prst="rect">
                      <a:avLst/>
                    </a:prstGeom>
                  </pic:spPr>
                </pic:pic>
              </a:graphicData>
            </a:graphic>
          </wp:inline>
        </w:drawing>
      </w:r>
    </w:p>
    <w:p>
      <w:pPr>
        <w:tabs>
          <w:tab w:val="left" w:pos="84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 xml:space="preserve">   二是能源需求仍在持续增长。从能源消耗看，虽然我国碳排放总量大，但人均能源消费仍有较大增长空间。2019 年中国人均一次能源消费量约为 OECD 国家的一半，人均用电量是 OECD 国家的 60%。随着我国经济的发展和生活水平的提高，未来可能需要耗用更多能源（见图 2）。从用电结构看，当前我国碳排放主要来自于生产方面，其中工业用电量占三分之二，居民用电量占比低（见图 3）。我国人均居民用电量仅为 OECD 国家的29%，未来将大幅增长。分行业看，碳排放占比最大的是发电和供热行业，占比 41.6%，其次是制造业和建筑业，占比23.2%（见图 4）。尽管部分领域和行业的碳排放占比不高，但由于体量庞大，这部分碳排放仍然不可忽视。</w:t>
      </w:r>
    </w:p>
    <w:p>
      <w:p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drawing>
          <wp:inline distT="0" distB="0" distL="114300" distR="114300">
            <wp:extent cx="2235835" cy="2187575"/>
            <wp:effectExtent l="0" t="0" r="4445" b="6985"/>
            <wp:docPr id="12"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
                    <pic:cNvPicPr>
                      <a:picLocks noChangeAspect="1"/>
                    </pic:cNvPicPr>
                  </pic:nvPicPr>
                  <pic:blipFill>
                    <a:blip r:embed="rId10"/>
                    <a:stretch>
                      <a:fillRect/>
                    </a:stretch>
                  </pic:blipFill>
                  <pic:spPr>
                    <a:xfrm>
                      <a:off x="0" y="0"/>
                      <a:ext cx="2235835" cy="2187575"/>
                    </a:xfrm>
                    <a:prstGeom prst="rect">
                      <a:avLst/>
                    </a:prstGeom>
                  </pic:spPr>
                </pic:pic>
              </a:graphicData>
            </a:graphic>
          </wp:inline>
        </w:drawing>
      </w:r>
      <w:r>
        <w:rPr>
          <w:rFonts w:hint="default" w:cstheme="minorBidi"/>
          <w:kern w:val="2"/>
          <w:sz w:val="21"/>
          <w:szCs w:val="24"/>
          <w:lang w:val="en-US" w:eastAsia="zh-CN" w:bidi="ar-SA"/>
        </w:rPr>
        <w:drawing>
          <wp:inline distT="0" distB="0" distL="114300" distR="114300">
            <wp:extent cx="2417445" cy="2191385"/>
            <wp:effectExtent l="0" t="0" r="5715" b="3175"/>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11"/>
                    <a:stretch>
                      <a:fillRect/>
                    </a:stretch>
                  </pic:blipFill>
                  <pic:spPr>
                    <a:xfrm>
                      <a:off x="0" y="0"/>
                      <a:ext cx="2417445" cy="2191385"/>
                    </a:xfrm>
                    <a:prstGeom prst="rect">
                      <a:avLst/>
                    </a:prstGeom>
                  </pic:spPr>
                </pic:pic>
              </a:graphicData>
            </a:graphic>
          </wp:inline>
        </w:drawing>
      </w:r>
      <w:r>
        <w:rPr>
          <w:rFonts w:hint="default" w:cstheme="minorBidi"/>
          <w:kern w:val="2"/>
          <w:sz w:val="21"/>
          <w:szCs w:val="24"/>
          <w:lang w:val="en-US" w:eastAsia="zh-CN" w:bidi="ar-SA"/>
        </w:rPr>
        <w:drawing>
          <wp:inline distT="0" distB="0" distL="114300" distR="114300">
            <wp:extent cx="2628900" cy="2051685"/>
            <wp:effectExtent l="0" t="0" r="7620" b="5715"/>
            <wp:docPr id="10" name="图片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
                    <pic:cNvPicPr>
                      <a:picLocks noChangeAspect="1"/>
                    </pic:cNvPicPr>
                  </pic:nvPicPr>
                  <pic:blipFill>
                    <a:blip r:embed="rId12"/>
                    <a:stretch>
                      <a:fillRect/>
                    </a:stretch>
                  </pic:blipFill>
                  <pic:spPr>
                    <a:xfrm>
                      <a:off x="0" y="0"/>
                      <a:ext cx="2628900" cy="2051685"/>
                    </a:xfrm>
                    <a:prstGeom prst="rect">
                      <a:avLst/>
                    </a:prstGeom>
                  </pic:spPr>
                </pic:pic>
              </a:graphicData>
            </a:graphic>
          </wp:inline>
        </w:drawing>
      </w:r>
    </w:p>
    <w:p>
      <w:pPr>
        <w:tabs>
          <w:tab w:val="left" w:pos="848"/>
        </w:tabs>
        <w:bidi w:val="0"/>
        <w:ind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三是能源结构调整难度较大。我国能源结构仍以化石能源为主。 2019 年，传统化石能源占我国能源消费总量的 84.7%，其中，煤炭消费占比57.7%，石油消费占比为 18.9%，天然气为 8.1%。虽然煤炭在我国能源结构中的占比一直处于下降趋势，但与国际相比仍然处于较高水平。当前我国正在积极发展风能、太阳能等可再生能源，随着科技的发展，可再生能源成本将逐步降低，但仍存在来源不稳定、波动性较大等缺点。当前我国能源结构中非化石能源占比仅为 15.3%，要实现碳达峰、碳中和目标，到 2030 年，这一比重需提高至 25%，2060 年需提高至 80% 以上。从电力来源看，当前我国仍以火电为主。虽然 2020年首次实现煤电装机容量占总装机容量比重低于50%，但煤电发电量占比仍高达 65% 左右，电力清洁化转型压力较大。据世界银行测算，我国碳排放量自 2000 年起迅速上升， 碳排放量占全球近 30%（见图 5）。</w:t>
      </w:r>
    </w:p>
    <w:p>
      <w:pPr>
        <w:tabs>
          <w:tab w:val="left" w:pos="848"/>
        </w:tabs>
        <w:bidi w:val="0"/>
        <w:ind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drawing>
          <wp:inline distT="0" distB="0" distL="114300" distR="114300">
            <wp:extent cx="3113405" cy="2471420"/>
            <wp:effectExtent l="0" t="0" r="10795" b="1270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13"/>
                    <a:stretch>
                      <a:fillRect/>
                    </a:stretch>
                  </pic:blipFill>
                  <pic:spPr>
                    <a:xfrm>
                      <a:off x="0" y="0"/>
                      <a:ext cx="3113405" cy="2471420"/>
                    </a:xfrm>
                    <a:prstGeom prst="rect">
                      <a:avLst/>
                    </a:prstGeom>
                  </pic:spPr>
                </pic:pic>
              </a:graphicData>
            </a:graphic>
          </wp:inline>
        </w:drawing>
      </w:r>
    </w:p>
    <w:p>
      <w:pPr>
        <w:tabs>
          <w:tab w:val="left" w:pos="848"/>
        </w:tabs>
        <w:bidi w:val="0"/>
        <w:ind w:firstLine="420" w:firstLineChars="200"/>
        <w:jc w:val="left"/>
        <w:rPr>
          <w:rFonts w:hint="default" w:cstheme="minorBidi"/>
          <w:kern w:val="2"/>
          <w:sz w:val="21"/>
          <w:szCs w:val="24"/>
          <w:lang w:val="en-US" w:eastAsia="zh-CN" w:bidi="ar-SA"/>
        </w:rPr>
      </w:pPr>
    </w:p>
    <w:p>
      <w:pPr>
        <w:tabs>
          <w:tab w:val="left" w:pos="848"/>
        </w:tabs>
        <w:bidi w:val="0"/>
        <w:ind w:firstLine="420" w:firstLineChars="200"/>
        <w:jc w:val="left"/>
        <w:rPr>
          <w:rFonts w:hint="default" w:cstheme="minorBidi"/>
          <w:kern w:val="2"/>
          <w:sz w:val="21"/>
          <w:szCs w:val="24"/>
          <w:lang w:val="en-US" w:eastAsia="zh-CN" w:bidi="ar-SA"/>
        </w:rPr>
      </w:pPr>
    </w:p>
    <w:p>
      <w:pPr>
        <w:numPr>
          <w:ilvl w:val="0"/>
          <w:numId w:val="6"/>
        </w:numPr>
        <w:tabs>
          <w:tab w:val="left" w:pos="848"/>
        </w:tabs>
        <w:bidi w:val="0"/>
        <w:ind w:left="0" w:leftChars="0" w:firstLine="0" w:firstLineChars="0"/>
        <w:jc w:val="left"/>
        <w:outlineLvl w:val="0"/>
        <w:rPr>
          <w:rFonts w:hint="eastAsia" w:cstheme="minorBidi"/>
          <w:kern w:val="2"/>
          <w:sz w:val="21"/>
          <w:szCs w:val="24"/>
          <w:lang w:val="en-US" w:eastAsia="zh-CN" w:bidi="ar-SA"/>
        </w:rPr>
      </w:pPr>
      <w:bookmarkStart w:id="5" w:name="_Toc25687"/>
      <w:r>
        <w:rPr>
          <w:rFonts w:hint="eastAsia" w:cstheme="minorBidi"/>
          <w:kern w:val="2"/>
          <w:sz w:val="21"/>
          <w:szCs w:val="24"/>
          <w:lang w:val="en-US" w:eastAsia="zh-CN" w:bidi="ar-SA"/>
        </w:rPr>
        <w:t>经验与启示</w:t>
      </w:r>
      <w:bookmarkEnd w:id="5"/>
    </w:p>
    <w:p>
      <w:pPr>
        <w:numPr>
          <w:ilvl w:val="0"/>
          <w:numId w:val="0"/>
        </w:numPr>
        <w:tabs>
          <w:tab w:val="left" w:pos="848"/>
        </w:tabs>
        <w:bidi w:val="0"/>
        <w:ind w:leftChars="0"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目前， 我国正加快健全货币政策和宏观审慎政策双支柱调控框架，借鉴国际经验，在中央银行政策框架下， 宏观审慎管理应聚焦以下五个方面，推动金融体系有序绿色转型。</w:t>
      </w:r>
    </w:p>
    <w:p>
      <w:pPr>
        <w:numPr>
          <w:ilvl w:val="0"/>
          <w:numId w:val="7"/>
        </w:numPr>
        <w:tabs>
          <w:tab w:val="left" w:pos="848"/>
        </w:tabs>
        <w:bidi w:val="0"/>
        <w:ind w:leftChars="0"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构建“气候信息框架”</w:t>
      </w:r>
      <w:r>
        <w:rPr>
          <w:rFonts w:hint="eastAsia" w:cstheme="minorBidi"/>
          <w:kern w:val="2"/>
          <w:sz w:val="21"/>
          <w:szCs w:val="24"/>
          <w:lang w:val="en-US" w:eastAsia="zh-CN" w:bidi="ar-SA"/>
        </w:rPr>
        <w:t>。</w:t>
      </w:r>
      <w:r>
        <w:rPr>
          <w:rFonts w:hint="default" w:cstheme="minorBidi"/>
          <w:kern w:val="2"/>
          <w:sz w:val="21"/>
          <w:szCs w:val="24"/>
          <w:lang w:val="en-US" w:eastAsia="zh-CN" w:bidi="ar-SA"/>
        </w:rPr>
        <w:t>为有效应对气候风险，需要三个基本要素构建“气候信息架构”。 一是获取前瞻性、细化和可验证的数据，提高信息的标准化和决策有效性； 二是统一的气候披露标准，提高信息的透明度和全球可比性， 使投资者、政策制定者、客户等利益相关者了解气候可持续商业模式过渡进程；三是探索广泛认可的全球分类方法， 通过设定阈值和目标，用于确定活动、资产和项目类别，明确绿色、非绿色、棕色和非棕色资产标准，以实现关键的气候、绿色、社会及可持续目标。</w:t>
      </w:r>
    </w:p>
    <w:p>
      <w:pPr>
        <w:numPr>
          <w:ilvl w:val="0"/>
          <w:numId w:val="7"/>
        </w:numPr>
        <w:tabs>
          <w:tab w:val="left" w:pos="848"/>
        </w:tabs>
        <w:bidi w:val="0"/>
        <w:ind w:leftChars="0"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评估气候变化相关风险</w:t>
      </w:r>
      <w:r>
        <w:rPr>
          <w:rFonts w:hint="eastAsia" w:cstheme="minorBidi"/>
          <w:kern w:val="2"/>
          <w:sz w:val="21"/>
          <w:szCs w:val="24"/>
          <w:lang w:val="en-US" w:eastAsia="zh-CN" w:bidi="ar-SA"/>
        </w:rPr>
        <w:t>。</w:t>
      </w:r>
      <w:r>
        <w:rPr>
          <w:rFonts w:hint="default" w:cstheme="minorBidi"/>
          <w:kern w:val="2"/>
          <w:sz w:val="21"/>
          <w:szCs w:val="24"/>
          <w:lang w:val="en-US" w:eastAsia="zh-CN" w:bidi="ar-SA"/>
        </w:rPr>
        <w:t xml:space="preserve">目前，气候风险较难量化，而且经济“碳化”的具体进程尚未十分明朗，难以精准评估气候风险对各类资产的冲击程度。 一方面，开发气候风险评估（Climate Risk Assessment，CRA）的工具和方法，尝试建立精准系统性气候模型，旨在识别并量化气候变化相关风险对微观审慎目标的影响。 另一方面，在明确绿色和棕色资产定义的前提下，分析绿色与非绿色、棕色与非棕色资产间的潜在风险差异，并充分考虑可能影响绿色资产违约率和绩效的非气候变量。 在机构端，将气候风险的评估和量化纳入金融机构的操作程序，对其进行适当的识别和管理。 </w:t>
      </w:r>
    </w:p>
    <w:p>
      <w:pPr>
        <w:numPr>
          <w:ilvl w:val="0"/>
          <w:numId w:val="7"/>
        </w:numPr>
        <w:tabs>
          <w:tab w:val="left" w:pos="848"/>
        </w:tabs>
        <w:bidi w:val="0"/>
        <w:ind w:left="0" w:leftChars="0"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将气候风险纳入银行资本要求</w:t>
      </w:r>
      <w:r>
        <w:rPr>
          <w:rFonts w:hint="eastAsia" w:cstheme="minorBidi"/>
          <w:kern w:val="2"/>
          <w:sz w:val="21"/>
          <w:szCs w:val="24"/>
          <w:lang w:val="en-US" w:eastAsia="zh-CN" w:bidi="ar-SA"/>
        </w:rPr>
        <w:t>。</w:t>
      </w:r>
      <w:r>
        <w:rPr>
          <w:rFonts w:hint="default" w:cstheme="minorBidi"/>
          <w:kern w:val="2"/>
          <w:sz w:val="21"/>
          <w:szCs w:val="24"/>
          <w:lang w:val="en-US" w:eastAsia="zh-CN" w:bidi="ar-SA"/>
        </w:rPr>
        <w:t xml:space="preserve">正确评估气候风险对各种资产的冲击程度，发挥绿棕色资产设置不同风险权重发挥其信贷资金引导作用，增加绿色支持因子或棕色惩罚因子， 设置资产环境风险权重，通过对不同资产设置不同资本要求，引导银行资金从棕色资产流向绿色资产。 </w:t>
      </w:r>
    </w:p>
    <w:p>
      <w:pPr>
        <w:numPr>
          <w:ilvl w:val="0"/>
          <w:numId w:val="7"/>
        </w:numPr>
        <w:tabs>
          <w:tab w:val="left" w:pos="848"/>
        </w:tabs>
        <w:bidi w:val="0"/>
        <w:ind w:left="0" w:leftChars="0"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在巴塞尔协议Ⅲ框架下应对气候风险</w:t>
      </w:r>
      <w:r>
        <w:rPr>
          <w:rFonts w:hint="eastAsia" w:cstheme="minorBidi"/>
          <w:kern w:val="2"/>
          <w:sz w:val="21"/>
          <w:szCs w:val="24"/>
          <w:lang w:val="en-US" w:eastAsia="zh-CN" w:bidi="ar-SA"/>
        </w:rPr>
        <w:t>。</w:t>
      </w:r>
      <w:r>
        <w:rPr>
          <w:rFonts w:hint="default" w:cstheme="minorBidi"/>
          <w:kern w:val="2"/>
          <w:sz w:val="21"/>
          <w:szCs w:val="24"/>
          <w:lang w:val="en-US" w:eastAsia="zh-CN" w:bidi="ar-SA"/>
        </w:rPr>
        <w:t>巴塞尔协议Ⅲ“第一支柱”是最低资本要求，在现有资本充足率框架中，指导金融机构将气候风险所致信用风险、 市场风险、流动性风险、操作风险等纳入其中。 “第二支柱”是外部监管评估，要求金融机构将气候风险纳入银行风险评估措施、情景分析及压力测试。 “第三支柱”为市场约束，将金融机构气候风险披露纳入市场约束的范围，引入“他律”的力量强化气候相关信息披露。</w:t>
      </w:r>
    </w:p>
    <w:p>
      <w:pPr>
        <w:numPr>
          <w:ilvl w:val="0"/>
          <w:numId w:val="7"/>
        </w:numPr>
        <w:tabs>
          <w:tab w:val="left" w:pos="848"/>
        </w:tabs>
        <w:bidi w:val="0"/>
        <w:ind w:left="0" w:leftChars="0" w:firstLine="420" w:firstLineChars="200"/>
        <w:jc w:val="left"/>
        <w:rPr>
          <w:rFonts w:hint="default" w:cstheme="minorBidi"/>
          <w:kern w:val="2"/>
          <w:sz w:val="21"/>
          <w:szCs w:val="24"/>
          <w:lang w:val="en-US" w:eastAsia="zh-CN" w:bidi="ar-SA"/>
        </w:rPr>
      </w:pPr>
      <w:r>
        <w:rPr>
          <w:rFonts w:hint="default" w:cstheme="minorBidi"/>
          <w:kern w:val="2"/>
          <w:sz w:val="21"/>
          <w:szCs w:val="24"/>
          <w:lang w:val="en-US" w:eastAsia="zh-CN" w:bidi="ar-SA"/>
        </w:rPr>
        <w:t>发展衍生品市场</w:t>
      </w:r>
      <w:r>
        <w:rPr>
          <w:rFonts w:hint="eastAsia" w:cstheme="minorBidi"/>
          <w:kern w:val="2"/>
          <w:sz w:val="21"/>
          <w:szCs w:val="24"/>
          <w:lang w:val="en-US" w:eastAsia="zh-CN" w:bidi="ar-SA"/>
        </w:rPr>
        <w:t>。</w:t>
      </w:r>
      <w:r>
        <w:rPr>
          <w:rFonts w:hint="default" w:cstheme="minorBidi"/>
          <w:kern w:val="2"/>
          <w:sz w:val="21"/>
          <w:szCs w:val="24"/>
          <w:lang w:val="en-US" w:eastAsia="zh-CN" w:bidi="ar-SA"/>
        </w:rPr>
        <w:t>不发达经济体在气候风险造成损失的情况下缺乏相应的资源去处置风险，它们更容易受到气候相关风险影响。 与发展中国家相比， 在遇到气候风险需要处置资产时，发达国家的金融产品流动性更强，拥有更发达 的衍生品市场，投资者可以在衍生品市场进行风险对冲。 例如，利用套期等金融工具将这些风险业务转移到其他金融领域，通过保险和再保险市场缓解气候风险对社会经济的影响方面，借助资产证券化和资产卖断使银行减少高风险资产敞口。</w:t>
      </w:r>
    </w:p>
    <w:p>
      <w:pPr>
        <w:numPr>
          <w:ilvl w:val="0"/>
          <w:numId w:val="0"/>
        </w:numPr>
        <w:tabs>
          <w:tab w:val="left" w:pos="848"/>
        </w:tabs>
        <w:bidi w:val="0"/>
        <w:ind w:leftChars="200"/>
        <w:jc w:val="left"/>
        <w:rPr>
          <w:rFonts w:hint="default" w:cstheme="minorBidi"/>
          <w:kern w:val="2"/>
          <w:sz w:val="21"/>
          <w:szCs w:val="24"/>
          <w:lang w:val="en-US" w:eastAsia="zh-CN" w:bidi="ar-SA"/>
        </w:rPr>
      </w:pPr>
    </w:p>
    <w:p>
      <w:pPr>
        <w:numPr>
          <w:ilvl w:val="0"/>
          <w:numId w:val="0"/>
        </w:numPr>
        <w:tabs>
          <w:tab w:val="left" w:pos="848"/>
        </w:tabs>
        <w:bidi w:val="0"/>
        <w:jc w:val="left"/>
        <w:rPr>
          <w:rFonts w:hint="default" w:cstheme="minorBidi"/>
          <w:kern w:val="2"/>
          <w:sz w:val="21"/>
          <w:szCs w:val="24"/>
          <w:lang w:val="en-US" w:eastAsia="zh-CN" w:bidi="ar-SA"/>
        </w:rPr>
      </w:pPr>
    </w:p>
    <w:p>
      <w:pPr>
        <w:numPr>
          <w:ilvl w:val="0"/>
          <w:numId w:val="0"/>
        </w:numPr>
        <w:tabs>
          <w:tab w:val="left" w:pos="84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参考文献：</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[1]王信.审慎管理气候变化相关金融风险[J].中国金融，2021（04）：41-42.</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[2]郑录军，王冲.区域绿色金融发展路径：基于山东省区域转型风险的分析[J].金融理论与实践，2021（02）：32-38.</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[3]马新彬.发挥宏观审慎政策作用，积极应对气候变化风险挑战[N].21 世纪经济报道，2021-04-09.</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[4]易纲.用好正常政策空间，推动绿色金融发展[N].金融时报，2021-03-22.</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[5]马骏孙天印气候变化对金融稳定的影响Ⅱ]现代金融导刊，2020，(4)：4-9．</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[6]袁源．气候变化：另一场金融危机之源?[N]周际金融报，2019-07-22．</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[7]谢平，段兵．气候变化与金融业发展影响、现状与战略[J]．比较，2020，(1)：10-20．</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 xml:space="preserve">[8]莱尔·布雷纳德，谢华军 金融体系如何应对气候变化挑战 [J]．金融市场研究，2021(2)：23-27 </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[9]联合国政府间气候变化专门委员会.气候变化2014综合报告[R].2014.</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 xml:space="preserve">[10]马骏，孙天印 气候变化对金融稳定的影响[J].现代金融导刊2020(3)：4-9 </w:t>
      </w:r>
    </w:p>
    <w:p>
      <w:pPr>
        <w:numPr>
          <w:ilvl w:val="0"/>
          <w:numId w:val="0"/>
        </w:numPr>
        <w:tabs>
          <w:tab w:val="left" w:pos="848"/>
        </w:tabs>
        <w:bidi w:val="0"/>
        <w:jc w:val="left"/>
        <w:rPr>
          <w:rFonts w:hint="default" w:cstheme="minorBidi"/>
          <w:kern w:val="2"/>
          <w:sz w:val="21"/>
          <w:szCs w:val="24"/>
          <w:lang w:val="en-US" w:eastAsia="zh-CN" w:bidi="ar-SA"/>
        </w:rPr>
      </w:pPr>
      <w:r>
        <w:rPr>
          <w:rFonts w:hint="default" w:cstheme="minorBidi"/>
          <w:kern w:val="2"/>
          <w:sz w:val="21"/>
          <w:szCs w:val="24"/>
          <w:lang w:val="en-US" w:eastAsia="zh-CN" w:bidi="ar-SA"/>
        </w:rPr>
        <w:t>[11]马正宇，秦放鸣 气候变化影响金融稳定的传导机制研究[J]．金融发展研究，2021(2)：35-43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21793"/>
    <w:multiLevelType w:val="singleLevel"/>
    <w:tmpl w:val="8EF21793"/>
    <w:lvl w:ilvl="0" w:tentative="0">
      <w:start w:val="2"/>
      <w:numFmt w:val="chineseCounting"/>
      <w:suff w:val="nothing"/>
      <w:lvlText w:val="(%1）"/>
      <w:lvlJc w:val="left"/>
      <w:rPr>
        <w:rFonts w:hint="eastAsia"/>
      </w:rPr>
    </w:lvl>
  </w:abstractNum>
  <w:abstractNum w:abstractNumId="1">
    <w:nsid w:val="BECD5DCF"/>
    <w:multiLevelType w:val="singleLevel"/>
    <w:tmpl w:val="BECD5DCF"/>
    <w:lvl w:ilvl="0" w:tentative="0">
      <w:start w:val="4"/>
      <w:numFmt w:val="decimal"/>
      <w:lvlText w:val="(%1)"/>
      <w:lvlJc w:val="left"/>
      <w:pPr>
        <w:tabs>
          <w:tab w:val="left" w:pos="312"/>
        </w:tabs>
      </w:pPr>
    </w:lvl>
  </w:abstractNum>
  <w:abstractNum w:abstractNumId="2">
    <w:nsid w:val="FA115177"/>
    <w:multiLevelType w:val="singleLevel"/>
    <w:tmpl w:val="FA115177"/>
    <w:lvl w:ilvl="0" w:tentative="0">
      <w:start w:val="4"/>
      <w:numFmt w:val="chineseCounting"/>
      <w:suff w:val="nothing"/>
      <w:lvlText w:val="%1、"/>
      <w:lvlJc w:val="left"/>
      <w:rPr>
        <w:rFonts w:hint="eastAsia"/>
      </w:rPr>
    </w:lvl>
  </w:abstractNum>
  <w:abstractNum w:abstractNumId="3">
    <w:nsid w:val="FFB538CE"/>
    <w:multiLevelType w:val="singleLevel"/>
    <w:tmpl w:val="FFB538CE"/>
    <w:lvl w:ilvl="0" w:tentative="0">
      <w:start w:val="1"/>
      <w:numFmt w:val="decimal"/>
      <w:suff w:val="nothing"/>
      <w:lvlText w:val="（%1）"/>
      <w:lvlJc w:val="left"/>
    </w:lvl>
  </w:abstractNum>
  <w:abstractNum w:abstractNumId="4">
    <w:nsid w:val="00E1BAB0"/>
    <w:multiLevelType w:val="singleLevel"/>
    <w:tmpl w:val="00E1BAB0"/>
    <w:lvl w:ilvl="0" w:tentative="0">
      <w:start w:val="1"/>
      <w:numFmt w:val="chineseCounting"/>
      <w:suff w:val="nothing"/>
      <w:lvlText w:val="%1、"/>
      <w:lvlJc w:val="left"/>
      <w:rPr>
        <w:rFonts w:hint="eastAsia"/>
      </w:rPr>
    </w:lvl>
  </w:abstractNum>
  <w:abstractNum w:abstractNumId="5">
    <w:nsid w:val="0F4C1737"/>
    <w:multiLevelType w:val="singleLevel"/>
    <w:tmpl w:val="0F4C1737"/>
    <w:lvl w:ilvl="0" w:tentative="0">
      <w:start w:val="1"/>
      <w:numFmt w:val="chineseCounting"/>
      <w:suff w:val="nothing"/>
      <w:lvlText w:val="（%1）"/>
      <w:lvlJc w:val="left"/>
      <w:rPr>
        <w:rFonts w:hint="eastAsia"/>
      </w:rPr>
    </w:lvl>
  </w:abstractNum>
  <w:abstractNum w:abstractNumId="6">
    <w:nsid w:val="4B520472"/>
    <w:multiLevelType w:val="singleLevel"/>
    <w:tmpl w:val="4B520472"/>
    <w:lvl w:ilvl="0" w:tentative="0">
      <w:start w:val="1"/>
      <w:numFmt w:val="chineseCounting"/>
      <w:suff w:val="nothing"/>
      <w:lvlText w:val="（%1）"/>
      <w:lvlJc w:val="left"/>
      <w:rPr>
        <w:rFonts w:hint="eastAsia"/>
      </w:rPr>
    </w:lvl>
  </w:abstractNum>
  <w:num w:numId="1">
    <w:abstractNumId w:val="4"/>
  </w:num>
  <w:num w:numId="2">
    <w:abstractNumId w:val="5"/>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6095"/>
    <w:rsid w:val="2D325F42"/>
    <w:rsid w:val="30DD1D9F"/>
    <w:rsid w:val="3C637341"/>
    <w:rsid w:val="4A7A01B8"/>
    <w:rsid w:val="746A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2022-03-15T12:12:00Z</dcterms:created>
  <dc:creator>86177</dc:creator>
  <cp:lastModifiedBy>欲戴王冠，必承其重</cp:lastModifiedBy>
  <dcterms:modified xsi:type="dcterms:W3CDTF">2022-03-21T03:25:45Z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A993627A6C9848748759E27AF4EA26BF</vt:lpwstr>
  </property>
</Properties>
</file>