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宋体"/>
          <w:kern w:val="2"/>
          <w:sz w:val="21"/>
          <w:szCs w:val="24"/>
          <w:lang w:val="en-US" w:eastAsia="zh-CN" w:bidi="ar-SA"/>
        </w:rPr>
        <w:id w:val="889682405"/>
        <w15:color w:val="DBDBDB"/>
      </w:sdtPr>
      <w:sdtEndPr>
        <w:rPr>
          <w:sz w:val="20"/>
          <w:szCs w:val="20"/>
        </w:rPr>
      </w:sdtEndPr>
      <w:sdtContent>
        <w:p>
          <w:pPr>
            <w:spacing w:before="0" w:beforeLines="0" w:after="0" w:afterLines="0" w:line="240" w:lineRule="auto"/>
            <w:ind w:left="0" w:leftChars="0" w:right="0" w:rightChars="0" w:firstLine="0" w:firstLineChars="0"/>
            <w:jc w:val="center"/>
          </w:pPr>
          <w:bookmarkStart w:id="0" w:name="_Toc36453226_WPSOffice_Type1"/>
          <w:r>
            <w:rPr>
              <w:rFonts w:ascii="宋体" w:hAnsi="宋体" w:eastAsia="宋体"/>
              <w:sz w:val="21"/>
            </w:rPr>
            <w:t>目录</w:t>
          </w:r>
        </w:p>
        <w:p>
          <w:pPr>
            <w:pStyle w:val="7"/>
            <w:tabs>
              <w:tab w:val="right" w:leader="dot" w:pos="8306"/>
            </w:tabs>
          </w:pPr>
          <w:r>
            <w:fldChar w:fldCharType="begin"/>
          </w:r>
          <w:r>
            <w:instrText xml:space="preserve"> HYPERLINK \l _Toc920744967_WPSOffice_Level1 </w:instrText>
          </w:r>
          <w:r>
            <w:fldChar w:fldCharType="separate"/>
          </w:r>
          <w:sdt>
            <w:sdtPr>
              <w:rPr>
                <w:rFonts w:ascii="Calibri" w:hAnsi="Calibri" w:eastAsia="宋体" w:cs="宋体"/>
                <w:b/>
                <w:kern w:val="2"/>
                <w:sz w:val="28"/>
                <w:szCs w:val="24"/>
                <w:lang w:val="en-US" w:eastAsia="zh-CN" w:bidi="ar-SA"/>
              </w:rPr>
              <w:id w:val="889682405"/>
              <w:placeholder>
                <w:docPart w:val="{7bb48bb6-6ec2-4d41-95af-3c2ea2445487}"/>
              </w:placeholder>
              <w15:color w:val="509DF3"/>
            </w:sdtPr>
            <w:sdtEndPr>
              <w:rPr>
                <w:rFonts w:ascii="Calibri" w:hAnsi="Calibri" w:eastAsia="宋体" w:cs="宋体"/>
                <w:b/>
                <w:kern w:val="2"/>
                <w:sz w:val="28"/>
                <w:szCs w:val="24"/>
                <w:lang w:val="en-US" w:eastAsia="zh-CN" w:bidi="ar-SA"/>
              </w:rPr>
            </w:sdtEndPr>
            <w:sdtContent>
              <w:r>
                <w:rPr>
                  <w:rFonts w:hint="default" w:ascii="Calibri" w:hAnsi="Calibri" w:eastAsia="宋体" w:cs="宋体"/>
                </w:rPr>
                <w:t xml:space="preserve">1. </w:t>
              </w:r>
              <w:r>
                <w:rPr>
                  <w:rFonts w:ascii="Calibri" w:hAnsi="Calibri" w:eastAsia="宋体" w:cs="宋体"/>
                </w:rPr>
                <w:t>气候相关宏观金融风险主要类型</w:t>
              </w:r>
            </w:sdtContent>
          </w:sdt>
          <w:r>
            <w:tab/>
          </w:r>
          <w:bookmarkStart w:id="1" w:name="_Toc920744967_WPSOffice_Level1Page"/>
          <w:r>
            <w:t>1</w:t>
          </w:r>
          <w:bookmarkEnd w:id="1"/>
          <w:r>
            <w:fldChar w:fldCharType="end"/>
          </w:r>
        </w:p>
        <w:p>
          <w:pPr>
            <w:pStyle w:val="7"/>
            <w:tabs>
              <w:tab w:val="right" w:leader="dot" w:pos="8306"/>
            </w:tabs>
          </w:pPr>
          <w:r>
            <w:fldChar w:fldCharType="begin"/>
          </w:r>
          <w:r>
            <w:instrText xml:space="preserve"> HYPERLINK \l _Toc36453226_WPSOffice_Level1 </w:instrText>
          </w:r>
          <w:r>
            <w:fldChar w:fldCharType="separate"/>
          </w:r>
          <w:sdt>
            <w:sdtPr>
              <w:rPr>
                <w:rFonts w:ascii="Calibri" w:hAnsi="Calibri" w:eastAsia="宋体" w:cs="宋体"/>
                <w:b/>
                <w:kern w:val="2"/>
                <w:sz w:val="28"/>
                <w:szCs w:val="24"/>
                <w:lang w:val="en-US" w:eastAsia="zh-CN" w:bidi="ar-SA"/>
              </w:rPr>
              <w:id w:val="889682405"/>
              <w:placeholder>
                <w:docPart w:val="{f38c26c9-b713-4608-9dac-a6d356bb6957}"/>
              </w:placeholder>
              <w15:color w:val="509DF3"/>
            </w:sdtPr>
            <w:sdtEndPr>
              <w:rPr>
                <w:rFonts w:ascii="Calibri" w:hAnsi="Calibri" w:eastAsia="宋体" w:cs="宋体"/>
                <w:b/>
                <w:kern w:val="2"/>
                <w:sz w:val="28"/>
                <w:szCs w:val="24"/>
                <w:lang w:val="en-US" w:eastAsia="zh-CN" w:bidi="ar-SA"/>
              </w:rPr>
            </w:sdtEndPr>
            <w:sdtContent>
              <w:r>
                <w:rPr>
                  <w:rFonts w:hint="default" w:ascii="Calibri" w:hAnsi="Calibri" w:eastAsia="宋体" w:cs="宋体"/>
                </w:rPr>
                <w:t>2</w:t>
              </w:r>
              <w:r>
                <w:rPr>
                  <w:rFonts w:hint="eastAsia" w:ascii="Calibri" w:hAnsi="Calibri" w:eastAsia="宋体" w:cs="宋体"/>
                </w:rPr>
                <w:t>.</w:t>
              </w:r>
              <w:r>
                <w:rPr>
                  <w:rFonts w:ascii="Calibri" w:hAnsi="Calibri" w:eastAsia="宋体" w:cs="宋体"/>
                </w:rPr>
                <w:t>气候变化干扰货币政策的传导和实施</w:t>
              </w:r>
            </w:sdtContent>
          </w:sdt>
          <w:r>
            <w:tab/>
          </w:r>
          <w:bookmarkStart w:id="2" w:name="_Toc36453226_WPSOffice_Level1Page"/>
          <w:r>
            <w:t>2</w:t>
          </w:r>
          <w:bookmarkEnd w:id="2"/>
          <w:r>
            <w:fldChar w:fldCharType="end"/>
          </w:r>
        </w:p>
        <w:p>
          <w:pPr>
            <w:pStyle w:val="7"/>
            <w:tabs>
              <w:tab w:val="right" w:leader="dot" w:pos="8306"/>
            </w:tabs>
          </w:pPr>
          <w:r>
            <w:fldChar w:fldCharType="begin"/>
          </w:r>
          <w:r>
            <w:instrText xml:space="preserve"> HYPERLINK \l _Toc636529987_WPSOffice_Level1 </w:instrText>
          </w:r>
          <w:r>
            <w:fldChar w:fldCharType="separate"/>
          </w:r>
          <w:sdt>
            <w:sdtPr>
              <w:rPr>
                <w:rFonts w:ascii="Calibri" w:hAnsi="Calibri" w:eastAsia="宋体" w:cs="宋体"/>
                <w:b/>
                <w:kern w:val="2"/>
                <w:sz w:val="28"/>
                <w:szCs w:val="24"/>
                <w:lang w:val="en-US" w:eastAsia="zh-CN" w:bidi="ar-SA"/>
              </w:rPr>
              <w:id w:val="889682405"/>
              <w:placeholder>
                <w:docPart w:val="{397a25ca-8ac0-462e-ac51-d628eb7d25d0}"/>
              </w:placeholder>
              <w15:color w:val="509DF3"/>
            </w:sdtPr>
            <w:sdtEndPr>
              <w:rPr>
                <w:rFonts w:ascii="Calibri" w:hAnsi="Calibri" w:eastAsia="宋体" w:cs="宋体"/>
                <w:b/>
                <w:kern w:val="2"/>
                <w:sz w:val="28"/>
                <w:szCs w:val="24"/>
                <w:lang w:val="en-US" w:eastAsia="zh-CN" w:bidi="ar-SA"/>
              </w:rPr>
            </w:sdtEndPr>
            <w:sdtContent>
              <w:r>
                <w:rPr>
                  <w:rFonts w:hint="default" w:ascii="Calibri" w:hAnsi="Calibri" w:eastAsia="宋体" w:cs="宋体"/>
                </w:rPr>
                <w:t>3</w:t>
              </w:r>
              <w:r>
                <w:rPr>
                  <w:rFonts w:hint="eastAsia" w:ascii="Calibri" w:hAnsi="Calibri" w:eastAsia="宋体" w:cs="宋体"/>
                </w:rPr>
                <w:t>.应对气候变化的</w:t>
              </w:r>
              <w:r>
                <w:rPr>
                  <w:rFonts w:ascii="Calibri" w:hAnsi="Calibri" w:eastAsia="宋体" w:cs="宋体"/>
                </w:rPr>
                <w:t>金融政策工具</w:t>
              </w:r>
            </w:sdtContent>
          </w:sdt>
          <w:r>
            <w:tab/>
          </w:r>
          <w:bookmarkStart w:id="3" w:name="_Toc636529987_WPSOffice_Level1Page"/>
          <w:r>
            <w:t>3</w:t>
          </w:r>
          <w:bookmarkEnd w:id="3"/>
          <w:r>
            <w:fldChar w:fldCharType="end"/>
          </w:r>
        </w:p>
        <w:p>
          <w:pPr>
            <w:pStyle w:val="7"/>
            <w:tabs>
              <w:tab w:val="right" w:leader="dot" w:pos="8306"/>
            </w:tabs>
          </w:pPr>
          <w:r>
            <w:fldChar w:fldCharType="begin"/>
          </w:r>
          <w:r>
            <w:instrText xml:space="preserve"> HYPERLINK \l _Toc1543445802_WPSOffice_Level1 </w:instrText>
          </w:r>
          <w:r>
            <w:fldChar w:fldCharType="separate"/>
          </w:r>
          <w:sdt>
            <w:sdtPr>
              <w:rPr>
                <w:rFonts w:ascii="Calibri" w:hAnsi="Calibri" w:eastAsia="宋体" w:cs="宋体"/>
                <w:b/>
                <w:kern w:val="2"/>
                <w:sz w:val="28"/>
                <w:szCs w:val="24"/>
                <w:lang w:val="en-US" w:eastAsia="zh-CN" w:bidi="ar-SA"/>
              </w:rPr>
              <w:id w:val="889682405"/>
              <w:placeholder>
                <w:docPart w:val="{417c87a1-ddc9-46bf-9845-f19c3f0ae51e}"/>
              </w:placeholder>
              <w15:color w:val="509DF3"/>
            </w:sdtPr>
            <w:sdtEndPr>
              <w:rPr>
                <w:rFonts w:ascii="Calibri" w:hAnsi="Calibri" w:eastAsia="宋体" w:cs="宋体"/>
                <w:b/>
                <w:kern w:val="2"/>
                <w:sz w:val="28"/>
                <w:szCs w:val="24"/>
                <w:lang w:val="en-US" w:eastAsia="zh-CN" w:bidi="ar-SA"/>
              </w:rPr>
            </w:sdtEndPr>
            <w:sdtContent>
              <w:r>
                <w:rPr>
                  <w:rFonts w:hint="default" w:ascii="Calibri" w:hAnsi="Calibri" w:eastAsia="宋体" w:cs="宋体"/>
                </w:rPr>
                <w:t>4.</w:t>
              </w:r>
              <w:r>
                <w:rPr>
                  <w:rFonts w:hint="eastAsia" w:ascii="Calibri" w:hAnsi="Calibri" w:eastAsia="宋体" w:cs="宋体"/>
                </w:rPr>
                <w:t>压力测试案例</w:t>
              </w:r>
            </w:sdtContent>
          </w:sdt>
          <w:r>
            <w:tab/>
          </w:r>
          <w:bookmarkStart w:id="4" w:name="_Toc1543445802_WPSOffice_Level1Page"/>
          <w:r>
            <w:t>4</w:t>
          </w:r>
          <w:bookmarkEnd w:id="4"/>
          <w:r>
            <w:fldChar w:fldCharType="end"/>
          </w:r>
          <w:bookmarkEnd w:id="0"/>
        </w:p>
      </w:sdtContent>
    </w:sdt>
    <w:p>
      <w:pPr>
        <w:pStyle w:val="4"/>
        <w:pageBreakBefore w:val="0"/>
        <w:kinsoku/>
        <w:wordWrap/>
        <w:overflowPunct/>
        <w:topLinePunct w:val="0"/>
        <w:autoSpaceDE/>
        <w:autoSpaceDN/>
        <w:bidi w:val="0"/>
        <w:adjustRightInd/>
        <w:snapToGrid/>
        <w:ind w:right="0" w:rightChars="0"/>
        <w:jc w:val="both"/>
        <w:textAlignment w:val="auto"/>
      </w:pPr>
      <w:bookmarkStart w:id="5" w:name="_Toc920744967_WPSOffice_Level1"/>
      <w:r>
        <w:rPr>
          <w:rFonts w:hint="default"/>
          <w:lang w:eastAsia="zh-CN"/>
        </w:rPr>
        <w:t>1</w:t>
      </w:r>
      <w:r>
        <w:rPr>
          <w:rFonts w:hint="default"/>
          <w:lang w:val="en-US" w:eastAsia="zh-CN"/>
        </w:rPr>
        <w:t xml:space="preserve">. </w:t>
      </w:r>
      <w:r>
        <w:rPr>
          <w:lang w:val="en-US" w:eastAsia="zh-CN"/>
        </w:rPr>
        <w:t>气候相关宏观金融风险主要类型</w:t>
      </w:r>
      <w:bookmarkEnd w:id="5"/>
      <w:r>
        <w:rPr>
          <w:lang w:val="en-US" w:eastAsia="zh-CN"/>
        </w:rPr>
        <w:t xml:space="preserve">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 xml:space="preserve">气候相关宏观金融风险一般可分为两类: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一是</w:t>
      </w:r>
      <w:r>
        <w:rPr>
          <w:b/>
          <w:bCs/>
          <w:lang w:val="en-US" w:eastAsia="zh-CN"/>
        </w:rPr>
        <w:t>物理风险</w:t>
      </w:r>
      <w:r>
        <w:rPr>
          <w:lang w:val="en-US" w:eastAsia="zh-CN"/>
        </w:rPr>
        <w:t xml:space="preserve">，即未能有效解决气候变化问题所带来的金融风险;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rFonts w:hint="default"/>
          <w:lang w:val="en-US" w:eastAsia="zh-CN"/>
        </w:rPr>
      </w:pPr>
      <w:r>
        <w:rPr>
          <w:lang w:val="en-US" w:eastAsia="zh-CN"/>
        </w:rPr>
        <w:t>二是</w:t>
      </w:r>
      <w:r>
        <w:rPr>
          <w:b/>
          <w:bCs/>
          <w:lang w:val="en-US" w:eastAsia="zh-CN"/>
        </w:rPr>
        <w:t>转型风险</w:t>
      </w:r>
      <w:r>
        <w:rPr>
          <w:lang w:val="en-US" w:eastAsia="zh-CN"/>
        </w:rPr>
        <w:t>，即公共或私人部门为控制气候变化采取的有效政策及行动所带来的金融体系不适应性风险</w:t>
      </w:r>
      <w:r>
        <w:rPr>
          <w:rFonts w:hint="default"/>
          <w:lang w:val="en-US" w:eastAsia="zh-CN"/>
        </w:rPr>
        <w:t>。</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这两类风险将通过资产价值重估</w:t>
      </w:r>
      <w:r>
        <w:rPr>
          <w:rFonts w:hint="default"/>
          <w:lang w:val="en-US" w:eastAsia="zh-CN"/>
        </w:rPr>
        <w:t>、</w:t>
      </w:r>
      <w:r>
        <w:rPr>
          <w:lang w:val="en-US" w:eastAsia="zh-CN"/>
        </w:rPr>
        <w:t>资产负债表</w:t>
      </w:r>
      <w:r>
        <w:rPr>
          <w:rFonts w:hint="default"/>
          <w:lang w:val="en-US" w:eastAsia="zh-CN"/>
        </w:rPr>
        <w:t>、</w:t>
      </w:r>
      <w:r>
        <w:rPr>
          <w:lang w:val="en-US" w:eastAsia="zh-CN"/>
        </w:rPr>
        <w:t>抵押品价值变化</w:t>
      </w:r>
      <w:r>
        <w:rPr>
          <w:rFonts w:hint="default"/>
          <w:lang w:val="en-US" w:eastAsia="zh-CN"/>
        </w:rPr>
        <w:t>、</w:t>
      </w:r>
      <w:r>
        <w:rPr>
          <w:lang w:val="en-US" w:eastAsia="zh-CN"/>
        </w:rPr>
        <w:t>风险头寸暴露</w:t>
      </w:r>
      <w:r>
        <w:rPr>
          <w:rFonts w:hint="default"/>
          <w:lang w:val="en-US" w:eastAsia="zh-CN"/>
        </w:rPr>
        <w:t>、</w:t>
      </w:r>
      <w:r>
        <w:rPr>
          <w:lang w:val="en-US" w:eastAsia="zh-CN"/>
        </w:rPr>
        <w:t>政策不确定性和市场预期波动等渠道，对宏观经济和金融变量产生显著影响，进而冲击金融稳定和宏观经济</w:t>
      </w:r>
      <w:r>
        <w:rPr>
          <w:rFonts w:hint="default"/>
          <w:lang w:val="en-US" w:eastAsia="zh-CN"/>
        </w:rPr>
        <w:t xml:space="preserve">。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w:t>
      </w:r>
      <w:r>
        <w:rPr>
          <w:rFonts w:hint="default"/>
          <w:lang w:val="en-US" w:eastAsia="zh-CN"/>
        </w:rPr>
        <w:t>1</w:t>
      </w:r>
      <w:r>
        <w:rPr>
          <w:lang w:val="en-US" w:eastAsia="zh-CN"/>
        </w:rPr>
        <w:t>) 物理风险对经济金融的具体影响</w:t>
      </w:r>
      <w:r>
        <w:rPr>
          <w:rFonts w:hint="default"/>
          <w:lang w:val="en-US" w:eastAsia="zh-CN"/>
        </w:rPr>
        <w:t>。</w:t>
      </w:r>
      <w:r>
        <w:rPr>
          <w:rFonts w:hint="eastAsia"/>
          <w:u w:val="single"/>
          <w:lang w:val="en-US" w:eastAsia="zh-Hans"/>
        </w:rPr>
        <w:t>（物理风险使保险公司资产负债表恶化）</w:t>
      </w:r>
      <w:r>
        <w:rPr>
          <w:b w:val="0"/>
          <w:bCs w:val="0"/>
          <w:lang w:val="en-US" w:eastAsia="zh-CN"/>
        </w:rPr>
        <w:t>保险公司</w:t>
      </w:r>
      <w:r>
        <w:rPr>
          <w:lang w:val="en-US" w:eastAsia="zh-CN"/>
        </w:rPr>
        <w:t>资产负债表是物理风险影响金融体系的重要载体，其传导与受灾主体保险覆盖程度有关</w:t>
      </w:r>
      <w:r>
        <w:rPr>
          <w:rFonts w:hint="default"/>
          <w:lang w:val="en-US" w:eastAsia="zh-CN"/>
        </w:rPr>
        <w:t>。</w:t>
      </w:r>
      <w:r>
        <w:rPr>
          <w:lang w:val="en-US" w:eastAsia="zh-CN"/>
        </w:rPr>
        <w:t>随着气候变化所造成的物理损失程度不断增加，若保险公司事前低估风险且无足够 的资本金，保险损失足够大且集中，就会导致保险公司经营困难甚至破产，</w:t>
      </w:r>
      <w:r>
        <w:rPr>
          <w:rFonts w:hint="default"/>
          <w:lang w:val="en-US" w:eastAsia="zh-CN"/>
        </w:rPr>
        <w:t>1992</w:t>
      </w:r>
      <w:r>
        <w:rPr>
          <w:lang w:val="en-US" w:eastAsia="zh-CN"/>
        </w:rPr>
        <w:t xml:space="preserve">年飓风 </w:t>
      </w:r>
      <w:r>
        <w:rPr>
          <w:rFonts w:hint="default"/>
          <w:lang w:val="en-US" w:eastAsia="zh-CN"/>
        </w:rPr>
        <w:t>“</w:t>
      </w:r>
      <w:r>
        <w:rPr>
          <w:lang w:val="en-US" w:eastAsia="zh-CN"/>
        </w:rPr>
        <w:t>安德鲁</w:t>
      </w:r>
      <w:r>
        <w:rPr>
          <w:rFonts w:hint="default"/>
          <w:lang w:val="en-US" w:eastAsia="zh-CN"/>
        </w:rPr>
        <w:t>”</w:t>
      </w:r>
      <w:r>
        <w:rPr>
          <w:lang w:val="en-US" w:eastAsia="zh-CN"/>
        </w:rPr>
        <w:t xml:space="preserve">导致美国多家保险公司资不抵债即是例证( </w:t>
      </w:r>
      <w:r>
        <w:rPr>
          <w:rFonts w:hint="default"/>
          <w:lang w:val="en-US" w:eastAsia="zh-CN"/>
        </w:rPr>
        <w:t>Batten</w:t>
      </w:r>
      <w:r>
        <w:rPr>
          <w:lang w:val="en-US" w:eastAsia="zh-CN"/>
        </w:rPr>
        <w:t>，</w:t>
      </w:r>
      <w:r>
        <w:rPr>
          <w:rFonts w:hint="default"/>
          <w:lang w:val="en-US" w:eastAsia="zh-CN"/>
        </w:rPr>
        <w:t>2018</w:t>
      </w:r>
      <w:r>
        <w:rPr>
          <w:lang w:val="en-US" w:eastAsia="zh-CN"/>
        </w:rPr>
        <w:t>) 。</w:t>
      </w:r>
      <w:r>
        <w:rPr>
          <w:b w:val="0"/>
          <w:bCs w:val="0"/>
          <w:u w:val="single"/>
          <w:lang w:val="en-US" w:eastAsia="zh-CN"/>
        </w:rPr>
        <w:t>保险公司资产负债表恶化反过来影响金融稳定</w:t>
      </w:r>
      <w:r>
        <w:rPr>
          <w:rFonts w:hint="default"/>
          <w:lang w:val="en-US" w:eastAsia="zh-CN"/>
        </w:rPr>
        <w:t>。</w:t>
      </w:r>
      <w:r>
        <w:rPr>
          <w:lang w:val="en-US" w:eastAsia="zh-CN"/>
        </w:rPr>
        <w:t>例如，赔偿金额过大导致保险公司削减相关保险服务和产品供给，陷入困境的保险公司大规模抛售资产导致资产价格下跌等，都可能造成金融体系内的风险传递</w:t>
      </w:r>
      <w:r>
        <w:rPr>
          <w:rFonts w:hint="default"/>
          <w:lang w:val="en-US" w:eastAsia="zh-CN"/>
        </w:rPr>
        <w:t>。</w:t>
      </w:r>
      <w:r>
        <w:rPr>
          <w:lang w:val="en-US" w:eastAsia="zh-CN"/>
        </w:rPr>
        <w:t>监测并评估这一风险的难度在于，环境风险的复杂性可能改变不同风险间的相关性及假设条件，影响模型预测的准确性和保险公司的偿付能力</w:t>
      </w:r>
      <w:r>
        <w:rPr>
          <w:rFonts w:hint="default"/>
          <w:lang w:val="en-US" w:eastAsia="zh-CN"/>
        </w:rPr>
        <w:t xml:space="preserve">。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灾后保险不足和保费过高还可能降低抵押物价值，</w:t>
      </w:r>
      <w:r>
        <w:rPr>
          <w:u w:val="single"/>
          <w:lang w:val="en-US" w:eastAsia="zh-CN"/>
        </w:rPr>
        <w:t>恶化家庭或企业资产负债表</w:t>
      </w:r>
      <w:r>
        <w:rPr>
          <w:lang w:val="en-US" w:eastAsia="zh-CN"/>
        </w:rPr>
        <w:t>，通过银行融资渠道引发经济下行甚至金融体系风险</w:t>
      </w:r>
      <w:r>
        <w:rPr>
          <w:rFonts w:hint="default"/>
          <w:lang w:val="en-US" w:eastAsia="zh-CN"/>
        </w:rPr>
        <w:t>。</w:t>
      </w:r>
      <w:r>
        <w:rPr>
          <w:lang w:val="en-US" w:eastAsia="zh-CN"/>
        </w:rPr>
        <w:t>受灾地区按揭资产价值因保险不足或物理损害而下跌，贷款违约概率上升，导致银行收紧融资条件，影响灾后重建</w:t>
      </w:r>
      <w:r>
        <w:rPr>
          <w:rFonts w:hint="default"/>
          <w:lang w:val="en-US" w:eastAsia="zh-CN"/>
        </w:rPr>
        <w:t>。</w:t>
      </w:r>
      <w:r>
        <w:rPr>
          <w:lang w:val="en-US" w:eastAsia="zh-CN"/>
        </w:rPr>
        <w:t xml:space="preserve">同时，违约损失增加冲击银行体系盈利能力，挤出银行对受灾地区和其他未受灾地区的贷款，放大自然灾害的经济影响，甚至威胁金融稳定( </w:t>
      </w:r>
      <w:r>
        <w:rPr>
          <w:rFonts w:hint="default"/>
          <w:lang w:val="en-US" w:eastAsia="zh-CN"/>
        </w:rPr>
        <w:t>Klomp</w:t>
      </w:r>
      <w:r>
        <w:rPr>
          <w:lang w:val="en-US" w:eastAsia="zh-CN"/>
        </w:rPr>
        <w:t>，</w:t>
      </w:r>
      <w:r>
        <w:rPr>
          <w:rFonts w:hint="default"/>
          <w:lang w:val="en-US" w:eastAsia="zh-CN"/>
        </w:rPr>
        <w:t>2014</w:t>
      </w:r>
      <w:r>
        <w:rPr>
          <w:lang w:val="en-US" w:eastAsia="zh-CN"/>
        </w:rPr>
        <w:t xml:space="preserve">) </w:t>
      </w:r>
      <w:r>
        <w:rPr>
          <w:rFonts w:hint="default"/>
          <w:lang w:val="en-US" w:eastAsia="zh-CN"/>
        </w:rPr>
        <w:t xml:space="preserve">。Lambertetal. </w:t>
      </w:r>
      <w:r>
        <w:rPr>
          <w:lang w:val="en-US" w:eastAsia="zh-CN"/>
        </w:rPr>
        <w:t xml:space="preserve">( </w:t>
      </w:r>
      <w:r>
        <w:rPr>
          <w:rFonts w:hint="default"/>
          <w:lang w:val="en-US" w:eastAsia="zh-CN"/>
        </w:rPr>
        <w:t>2012</w:t>
      </w:r>
      <w:r>
        <w:rPr>
          <w:lang w:val="en-US" w:eastAsia="zh-CN"/>
        </w:rPr>
        <w:t>) 对</w:t>
      </w:r>
      <w:r>
        <w:rPr>
          <w:rFonts w:hint="default"/>
          <w:lang w:val="en-US" w:eastAsia="zh-CN"/>
        </w:rPr>
        <w:t>2005</w:t>
      </w:r>
      <w:r>
        <w:rPr>
          <w:lang w:val="en-US" w:eastAsia="zh-CN"/>
        </w:rPr>
        <w:t>年袭击美国的</w:t>
      </w:r>
      <w:r>
        <w:rPr>
          <w:rFonts w:hint="default"/>
          <w:lang w:val="en-US" w:eastAsia="zh-CN"/>
        </w:rPr>
        <w:t>“</w:t>
      </w:r>
      <w:r>
        <w:rPr>
          <w:lang w:val="en-US" w:eastAsia="zh-CN"/>
        </w:rPr>
        <w:t>卡特里娜</w:t>
      </w:r>
      <w:r>
        <w:rPr>
          <w:rFonts w:hint="default"/>
          <w:lang w:val="en-US" w:eastAsia="zh-CN"/>
        </w:rPr>
        <w:t>”</w:t>
      </w:r>
      <w:r>
        <w:rPr>
          <w:lang w:val="en-US" w:eastAsia="zh-CN"/>
        </w:rPr>
        <w:t>飓风及同期两次飓风的研究发现，由于大量飓风损失未投保，导致美国墨西哥湾沿岸地区银行出现大规模预期外损失，严重削弱其资产质量，为此银行进一步减少对非金融企业贷款，形成负反馈</w:t>
      </w:r>
      <w:r>
        <w:rPr>
          <w:rFonts w:hint="default"/>
          <w:lang w:val="en-US" w:eastAsia="zh-CN"/>
        </w:rPr>
        <w:t xml:space="preserve">。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rFonts w:hint="default"/>
          <w:lang w:val="en-US" w:eastAsia="zh-CN"/>
        </w:rPr>
      </w:pPr>
      <w:r>
        <w:rPr>
          <w:lang w:val="en-US" w:eastAsia="zh-CN"/>
        </w:rPr>
        <w:t>气候风险还可能</w:t>
      </w:r>
      <w:r>
        <w:rPr>
          <w:u w:val="single"/>
          <w:lang w:val="en-US" w:eastAsia="zh-CN"/>
        </w:rPr>
        <w:t>通过流动性供求渠道影响金融体系稳定</w:t>
      </w:r>
      <w:r>
        <w:rPr>
          <w:rFonts w:hint="default"/>
          <w:lang w:val="en-US" w:eastAsia="zh-CN"/>
        </w:rPr>
        <w:t>。</w:t>
      </w:r>
      <w:r>
        <w:rPr>
          <w:lang w:val="en-US" w:eastAsia="zh-CN"/>
        </w:rPr>
        <w:t>一方面，银行体系因气候 风险造成资本损失，且不能短期迅速补充资本金时，会通过减少授信等方式来满足监管对 资本比例的要求</w:t>
      </w:r>
      <w:r>
        <w:rPr>
          <w:rFonts w:hint="default"/>
          <w:lang w:val="en-US" w:eastAsia="zh-CN"/>
        </w:rPr>
        <w:t>。</w:t>
      </w:r>
      <w:r>
        <w:rPr>
          <w:lang w:val="en-US" w:eastAsia="zh-CN"/>
        </w:rPr>
        <w:t>信贷供给减少反过来加速抵押物价值下跌，进一步损害居民与企业资产负债表，加剧灾后经济下滑风险</w:t>
      </w:r>
      <w:r>
        <w:rPr>
          <w:rFonts w:hint="default"/>
          <w:lang w:val="en-US" w:eastAsia="zh-CN"/>
        </w:rPr>
        <w:t>。</w:t>
      </w:r>
      <w:r>
        <w:rPr>
          <w:lang w:val="en-US" w:eastAsia="zh-CN"/>
        </w:rPr>
        <w:t>另一方面，气候灾害可能导致金融机构</w:t>
      </w:r>
      <w:r>
        <w:rPr>
          <w:rFonts w:hint="default"/>
          <w:lang w:val="en-US" w:eastAsia="zh-CN"/>
        </w:rPr>
        <w:t>、</w:t>
      </w:r>
      <w:r>
        <w:rPr>
          <w:lang w:val="en-US" w:eastAsia="zh-CN"/>
        </w:rPr>
        <w:t>家庭和企业预防性资金需求急剧上升，如果中央银行不及时介入提供紧急流动性，大量流动性囤积行为不利于金融和经济稳定</w:t>
      </w:r>
      <w:r>
        <w:rPr>
          <w:rFonts w:hint="default"/>
          <w:lang w:val="en-US" w:eastAsia="zh-CN"/>
        </w:rPr>
        <w:t>。</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rFonts w:hint="default"/>
          <w:lang w:val="en-US" w:eastAsia="zh-CN"/>
        </w:rPr>
      </w:pPr>
    </w:p>
    <w:p>
      <w:pPr>
        <w:pageBreakBefore w:val="0"/>
        <w:numPr>
          <w:ilvl w:val="0"/>
          <w:numId w:val="1"/>
        </w:numPr>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转型风险对经济金融的具体影响。</w:t>
      </w:r>
      <w:r>
        <w:rPr>
          <w:u w:val="single"/>
          <w:lang w:val="en-US" w:eastAsia="zh-CN"/>
        </w:rPr>
        <w:t>碳减排政策</w:t>
      </w:r>
      <w:r>
        <w:rPr>
          <w:rFonts w:hint="default"/>
          <w:u w:val="single"/>
          <w:lang w:val="en-US" w:eastAsia="zh-CN"/>
        </w:rPr>
        <w:t>、</w:t>
      </w:r>
      <w:r>
        <w:rPr>
          <w:u w:val="single"/>
          <w:lang w:val="en-US" w:eastAsia="zh-CN"/>
        </w:rPr>
        <w:t>技术革新等低碳转型手段可通过资产搁浅和不确定性预期扰乱金融市场价格信号</w:t>
      </w:r>
      <w:r>
        <w:rPr>
          <w:lang w:val="en-US" w:eastAsia="zh-CN"/>
        </w:rPr>
        <w:t>，造成资产价值无序重估，影响经济金融稳定</w:t>
      </w:r>
      <w:r>
        <w:rPr>
          <w:rFonts w:hint="default"/>
          <w:lang w:val="en-US" w:eastAsia="zh-CN"/>
        </w:rPr>
        <w:t>。</w:t>
      </w:r>
      <w:r>
        <w:rPr>
          <w:lang w:val="en-US" w:eastAsia="zh-CN"/>
        </w:rPr>
        <w:t>化石燃料资源的使用仍占较大比例</w:t>
      </w:r>
      <w:r>
        <w:rPr>
          <w:rFonts w:hint="default"/>
          <w:lang w:val="en-US" w:eastAsia="zh-CN"/>
        </w:rPr>
        <w:t>。</w:t>
      </w:r>
      <w:r>
        <w:rPr>
          <w:lang w:val="en-US" w:eastAsia="zh-CN"/>
        </w:rPr>
        <w:t>若在短时间内大幅削减化石燃料使用，受制于可再生能源技术和节能技术的发展，作为替代的低碳能源边际价格会提高</w:t>
      </w:r>
      <w:r>
        <w:rPr>
          <w:rFonts w:hint="default"/>
          <w:lang w:val="en-US" w:eastAsia="zh-CN"/>
        </w:rPr>
        <w:t>。</w:t>
      </w:r>
      <w:r>
        <w:rPr>
          <w:lang w:val="en-US" w:eastAsia="zh-CN"/>
        </w:rPr>
        <w:t>由于与能源生产和使用有关的资本存量周转率既定，这种做法会显著减少过渡期内的能源供给，不利于全球经济的稳定增长，效果或类似于一次大型持久的负面宏观经济冲击</w:t>
      </w:r>
      <w:r>
        <w:rPr>
          <w:rFonts w:hint="eastAsia"/>
          <w:lang w:val="en-US" w:eastAsia="zh-Hans"/>
        </w:rPr>
        <w:t>。</w:t>
      </w:r>
      <w:r>
        <w:rPr>
          <w:lang w:val="en-US" w:eastAsia="zh-CN"/>
        </w:rPr>
        <w:t xml:space="preserve">在伦敦证券交易所的上市公司中，也有约 </w:t>
      </w:r>
      <w:r>
        <w:rPr>
          <w:rFonts w:hint="default"/>
          <w:lang w:val="en-US" w:eastAsia="zh-CN"/>
        </w:rPr>
        <w:t xml:space="preserve">20% </w:t>
      </w:r>
      <w:r>
        <w:rPr>
          <w:lang w:val="en-US" w:eastAsia="zh-CN"/>
        </w:rPr>
        <w:t>的公司来自能源生产行业</w:t>
      </w:r>
      <w:r>
        <w:rPr>
          <w:rFonts w:hint="default"/>
          <w:lang w:val="en-US" w:eastAsia="zh-CN"/>
        </w:rPr>
        <w:t>。</w:t>
      </w:r>
      <w:r>
        <w:rPr>
          <w:lang w:val="en-US" w:eastAsia="zh-CN"/>
        </w:rPr>
        <w:t>转型过程中，政府政策可信度会影响私人投资预期</w:t>
      </w:r>
      <w:r>
        <w:rPr>
          <w:rFonts w:hint="default"/>
          <w:lang w:val="en-US" w:eastAsia="zh-CN"/>
        </w:rPr>
        <w:t>。</w:t>
      </w:r>
      <w:r>
        <w:rPr>
          <w:lang w:val="en-US" w:eastAsia="zh-CN"/>
        </w:rPr>
        <w:t>如果预先承诺向低碳经济转型，私人对低碳技术投资高收益的预期会增强，相应会增加投资</w:t>
      </w:r>
      <w:r>
        <w:rPr>
          <w:rFonts w:hint="default"/>
          <w:lang w:val="en-US" w:eastAsia="zh-CN"/>
        </w:rPr>
        <w:t>。</w:t>
      </w:r>
      <w:r>
        <w:rPr>
          <w:lang w:val="en-US" w:eastAsia="zh-CN"/>
        </w:rPr>
        <w:t>反之，如果政府未承诺转型，或在承诺期内出现政策逆转与反复，私人对低碳投资的预期收益不高，投资很难增加</w:t>
      </w:r>
      <w:r>
        <w:rPr>
          <w:rFonts w:hint="default"/>
          <w:lang w:val="en-US" w:eastAsia="zh-CN"/>
        </w:rPr>
        <w:t>。</w:t>
      </w:r>
      <w:r>
        <w:rPr>
          <w:lang w:val="en-US" w:eastAsia="zh-CN"/>
        </w:rPr>
        <w:t>另外，政府是否采取措施关闭污染企业会对投资于节能减排技术的企业运营成本与产品价格产生较大影响</w:t>
      </w:r>
      <w:r>
        <w:rPr>
          <w:rFonts w:hint="default"/>
          <w:lang w:val="en-US" w:eastAsia="zh-CN"/>
        </w:rPr>
        <w:t xml:space="preserve">。 </w:t>
      </w:r>
    </w:p>
    <w:p>
      <w:pPr>
        <w:pStyle w:val="4"/>
        <w:pageBreakBefore w:val="0"/>
        <w:kinsoku/>
        <w:wordWrap/>
        <w:overflowPunct/>
        <w:topLinePunct w:val="0"/>
        <w:autoSpaceDE/>
        <w:autoSpaceDN/>
        <w:bidi w:val="0"/>
        <w:adjustRightInd/>
        <w:snapToGrid/>
        <w:ind w:left="0" w:leftChars="0" w:right="0" w:rightChars="0" w:firstLine="561" w:firstLineChars="200"/>
        <w:jc w:val="both"/>
        <w:textAlignment w:val="auto"/>
      </w:pPr>
      <w:bookmarkStart w:id="6" w:name="_Toc36453226_WPSOffice_Level1"/>
      <w:r>
        <w:rPr>
          <w:rFonts w:hint="default"/>
        </w:rPr>
        <w:t>2</w:t>
      </w:r>
      <w:r>
        <w:rPr>
          <w:rFonts w:hint="eastAsia"/>
          <w:lang w:val="en-US"/>
        </w:rPr>
        <w:t>.</w:t>
      </w:r>
      <w:r>
        <w:rPr>
          <w:lang w:val="en-US" w:eastAsia="zh-CN"/>
        </w:rPr>
        <w:t>气候变化干扰货币政策的传导和实施</w:t>
      </w:r>
      <w:bookmarkEnd w:id="6"/>
      <w:r>
        <w:rPr>
          <w:lang w:val="en-US" w:eastAsia="zh-CN"/>
        </w:rPr>
        <w:t xml:space="preserve"> </w:t>
      </w:r>
    </w:p>
    <w:p>
      <w:pPr>
        <w:pageBreakBefore w:val="0"/>
        <w:kinsoku/>
        <w:wordWrap/>
        <w:overflowPunct/>
        <w:topLinePunct w:val="0"/>
        <w:autoSpaceDE/>
        <w:autoSpaceDN/>
        <w:bidi w:val="0"/>
        <w:adjustRightInd/>
        <w:snapToGrid/>
        <w:ind w:right="0" w:rightChars="0"/>
        <w:jc w:val="both"/>
        <w:textAlignment w:val="auto"/>
      </w:pPr>
      <w:r>
        <w:rPr>
          <w:b/>
          <w:bCs/>
          <w:lang w:val="en-US" w:eastAsia="zh-CN"/>
        </w:rPr>
        <w:t>气候变化影响宏观经济变量</w:t>
      </w:r>
      <w:r>
        <w:rPr>
          <w:lang w:val="en-US" w:eastAsia="zh-CN"/>
        </w:rPr>
        <w:t xml:space="preserve">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rFonts w:hint="default"/>
          <w:lang w:val="en-US" w:eastAsia="zh-CN"/>
        </w:rPr>
        <w:t>一是影响</w:t>
      </w:r>
      <w:r>
        <w:rPr>
          <w:rFonts w:hint="default"/>
          <w:u w:val="single"/>
          <w:lang w:val="en-US" w:eastAsia="zh-CN"/>
        </w:rPr>
        <w:t>总供求</w:t>
      </w:r>
      <w:r>
        <w:rPr>
          <w:rFonts w:hint="default"/>
          <w:lang w:val="en-US" w:eastAsia="zh-CN"/>
        </w:rPr>
        <w:t xml:space="preserve">。一方面，气候变化引发的突发事件， 可能增加或减少对商品和服务的总需求，进而影响家庭财富 和消费。另一方面，气候变化往往带来供给冲击，如极端天气和海平面上升导致资产受损，主要城市和工业区洪水泛滥引发生产中断及失业等。需要说明的是，气候变化引发的供给冲击，既包括农作物价格上涨等暂时性冲击，也包括海平面上升对沿海土地的破坏、限制温室气体排放会抬高化石能源价格等永久性冲击。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rFonts w:hint="default"/>
          <w:lang w:val="en-US" w:eastAsia="zh-CN"/>
        </w:rPr>
        <w:t>二是影响</w:t>
      </w:r>
      <w:r>
        <w:rPr>
          <w:rFonts w:hint="default"/>
          <w:u w:val="single"/>
          <w:lang w:val="en-US" w:eastAsia="zh-CN"/>
        </w:rPr>
        <w:t>潜在产出</w:t>
      </w:r>
      <w:r>
        <w:rPr>
          <w:rFonts w:hint="default"/>
          <w:lang w:val="en-US" w:eastAsia="zh-CN"/>
        </w:rPr>
        <w:t xml:space="preserve">。首先，应对气候变化和低碳转型相关政策影响生产要素投入，如生产率降低、资源短缺、工作时间缩短、物质和人力资本存量减少等。其次，如果应对气候变化的政策措施未能实现平稳过渡，而是引发了非线性调整，经济产出的波动性和水平也会受到影响。最后，能源结构变化、保费上涨、适应气候变化等支出增加，也会影响经济产出。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rFonts w:hint="default"/>
          <w:lang w:val="en-US" w:eastAsia="zh-CN"/>
        </w:rPr>
        <w:t>三是影响</w:t>
      </w:r>
      <w:r>
        <w:rPr>
          <w:rFonts w:hint="default"/>
          <w:u w:val="single"/>
          <w:lang w:val="en-US" w:eastAsia="zh-CN"/>
        </w:rPr>
        <w:t>物价水平</w:t>
      </w:r>
      <w:r>
        <w:rPr>
          <w:rFonts w:hint="default"/>
          <w:lang w:val="en-US" w:eastAsia="zh-CN"/>
        </w:rPr>
        <w:t>。首先，农产品和能源价格变化，会导致价格调整和波动加大</w:t>
      </w:r>
      <w:r>
        <w:rPr>
          <w:rFonts w:hint="eastAsia"/>
          <w:lang w:val="en-US" w:eastAsia="zh-Hans"/>
        </w:rPr>
        <w:t>，</w:t>
      </w:r>
      <w:r>
        <w:rPr>
          <w:rFonts w:hint="default"/>
          <w:lang w:val="en-US" w:eastAsia="zh-CN"/>
        </w:rPr>
        <w:t>气候冲击的频率和强度上升，会提高通货膨胀的波动性。频繁和强烈的气候变化，会使经济面临长期供给冲击，导致经济增长率、通货膨胀和金融市场价格波动更加频繁。</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rFonts w:hint="default"/>
          <w:lang w:val="en-US" w:eastAsia="zh-CN"/>
        </w:rPr>
        <w:t>四是影响</w:t>
      </w:r>
      <w:r>
        <w:rPr>
          <w:rFonts w:hint="default"/>
          <w:u w:val="single"/>
          <w:lang w:val="en-US" w:eastAsia="zh-CN"/>
        </w:rPr>
        <w:t>自然利率</w:t>
      </w:r>
      <w:r>
        <w:rPr>
          <w:rFonts w:hint="default"/>
          <w:lang w:val="en-US" w:eastAsia="zh-CN"/>
        </w:rPr>
        <w:t>。应对气候变化的政策措施会影响生产率和长期经济增长，改变实际利率的长期中性水平，而这是影响货币政策的重要因素。目前，气候变化相关风险仍主要是局部和暂时的，大多数央行有能力应对，但未来气温上升和自然灾害频发，可能抑制潜在产出增长和均衡实际利率，削弱央行应对巨大冲击的能力。如在自然利率已很低且该经济体仍频繁遭受严重气候变化冲击的情况下，央</w:t>
      </w:r>
      <w:r>
        <w:rPr>
          <w:lang w:val="en-US" w:eastAsia="zh-CN"/>
        </w:rPr>
        <w:t xml:space="preserve">行将面临传统货币政策空间不足的窘境。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b/>
          <w:bCs/>
          <w:lang w:val="en-US" w:eastAsia="zh-CN"/>
        </w:rPr>
      </w:pPr>
      <w:r>
        <w:rPr>
          <w:b/>
          <w:bCs/>
          <w:lang w:val="en-US" w:eastAsia="zh-CN"/>
        </w:rPr>
        <w:t>气候变化改变金融机构资产负债表，干扰货币政策传导</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rFonts w:hint="default"/>
          <w:u w:val="single"/>
          <w:lang w:val="en-US" w:eastAsia="zh-CN"/>
        </w:rPr>
        <w:t>一是巨灾保险市场不完善，扭曲信贷市场。</w:t>
      </w:r>
      <w:r>
        <w:rPr>
          <w:rFonts w:hint="default"/>
          <w:lang w:val="en-US" w:eastAsia="zh-CN"/>
        </w:rPr>
        <w:t>灾害损失保险不足，会加重自然灾害的经济损失，推迟灾后重建，进一步降低贷款抵押物价值，迫使银行减少对受灾地区和未受灾 地区的贷款，导致受灾企业和家庭财务进一步紧缩。</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rFonts w:hint="default"/>
          <w:u w:val="single"/>
          <w:lang w:val="en-US" w:eastAsia="zh-CN"/>
        </w:rPr>
        <w:t>二是贷款违约概率和违约损失上升，增大银行信用风险</w:t>
      </w:r>
      <w:r>
        <w:rPr>
          <w:rFonts w:hint="default"/>
          <w:lang w:val="en-US" w:eastAsia="zh-CN"/>
        </w:rPr>
        <w:t xml:space="preserve">。根据2005年“卡特里娜”飓风席卷美国海湾地区的情况，发现由于许多受飓风打击的借款人未投保，当地银行出现大量未预计损失，严重削弱了银行资产质量；银行不得不减少对非金融企业的贷款，由此形成正反馈，不利于当地经济复苏。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rFonts w:hint="default"/>
          <w:lang w:val="en-US" w:eastAsia="zh-CN"/>
        </w:rPr>
      </w:pPr>
      <w:r>
        <w:rPr>
          <w:rFonts w:hint="default"/>
          <w:u w:val="single"/>
          <w:lang w:val="en-US" w:eastAsia="zh-CN"/>
        </w:rPr>
        <w:t>三是金融机构预防性资金需求增加。</w:t>
      </w:r>
      <w:r>
        <w:rPr>
          <w:rFonts w:hint="default"/>
          <w:lang w:val="en-US" w:eastAsia="zh-CN"/>
        </w:rPr>
        <w:t>大型自然灾害可能会导致金融机构、家庭和企业预防性资金需求急剧上升</w:t>
      </w:r>
      <w:r>
        <w:rPr>
          <w:rFonts w:hint="eastAsia"/>
          <w:lang w:val="en-US" w:eastAsia="zh-Hans"/>
        </w:rPr>
        <w:t>，</w:t>
      </w:r>
      <w:r>
        <w:rPr>
          <w:rFonts w:hint="default"/>
          <w:lang w:val="en-US" w:eastAsia="zh-CN"/>
        </w:rPr>
        <w:t>为及时补充资金，金融机构会出售更具流动性的资产，或提高存款利率。同时，为维护金融稳定，大型自然灾害后，大部分央行或国际组织会为受灾地区提供紧急流动性支持。然而，流动性大量囤积，对金融机构的流动性管理能力提出了挑战。金融机构既需要应对短期流动性高需求，也需要应对流动性囤积带来的盈利下降风险。</w:t>
      </w:r>
    </w:p>
    <w:p>
      <w:pPr>
        <w:pStyle w:val="4"/>
        <w:pageBreakBefore w:val="0"/>
        <w:kinsoku/>
        <w:wordWrap/>
        <w:overflowPunct/>
        <w:topLinePunct w:val="0"/>
        <w:autoSpaceDE/>
        <w:autoSpaceDN/>
        <w:bidi w:val="0"/>
        <w:adjustRightInd/>
        <w:snapToGrid/>
        <w:ind w:right="0" w:rightChars="0"/>
        <w:jc w:val="both"/>
        <w:textAlignment w:val="auto"/>
      </w:pPr>
      <w:bookmarkStart w:id="7" w:name="_Toc636529987_WPSOffice_Level1"/>
      <w:r>
        <w:rPr>
          <w:rFonts w:hint="default"/>
        </w:rPr>
        <w:t>3</w:t>
      </w:r>
      <w:r>
        <w:rPr>
          <w:rFonts w:hint="eastAsia"/>
          <w:lang w:val="en-US"/>
        </w:rPr>
        <w:t>.应对气候变化的</w:t>
      </w:r>
      <w:r>
        <w:rPr>
          <w:lang w:val="en-US" w:eastAsia="zh-CN"/>
        </w:rPr>
        <w:t>金融政策工具</w:t>
      </w:r>
      <w:bookmarkEnd w:id="7"/>
      <w:r>
        <w:rPr>
          <w:lang w:val="en-US" w:eastAsia="zh-CN"/>
        </w:rPr>
        <w:t xml:space="preserve"> </w:t>
      </w:r>
    </w:p>
    <w:p>
      <w:pPr>
        <w:pageBreakBefore w:val="0"/>
        <w:kinsoku/>
        <w:wordWrap/>
        <w:overflowPunct/>
        <w:topLinePunct w:val="0"/>
        <w:autoSpaceDE/>
        <w:autoSpaceDN/>
        <w:bidi w:val="0"/>
        <w:adjustRightInd/>
        <w:snapToGrid/>
        <w:ind w:right="0" w:rightChars="0"/>
        <w:jc w:val="both"/>
        <w:textAlignment w:val="auto"/>
      </w:pPr>
      <w:r>
        <w:rPr>
          <w:lang w:val="en-US" w:eastAsia="zh-CN"/>
        </w:rPr>
        <w:t>（</w:t>
      </w:r>
      <w:r>
        <w:rPr>
          <w:rFonts w:hint="default"/>
          <w:lang w:val="en-US" w:eastAsia="zh-CN"/>
        </w:rPr>
        <w:t>一</w:t>
      </w:r>
      <w:r>
        <w:rPr>
          <w:lang w:val="en-US" w:eastAsia="zh-CN"/>
        </w:rPr>
        <w:t>）</w:t>
      </w:r>
      <w:r>
        <w:rPr>
          <w:rFonts w:hint="default"/>
          <w:lang w:val="en-US" w:eastAsia="zh-CN"/>
        </w:rPr>
        <w:t xml:space="preserve">金融监管工具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b/>
          <w:bCs/>
          <w:lang w:val="en-US" w:eastAsia="zh-CN"/>
        </w:rPr>
        <w:t>金融监管工具是指从金融监管层面进行调整，以增加对绿色资产的需求，支持气候金融发展。</w:t>
      </w:r>
      <w:r>
        <w:rPr>
          <w:lang w:val="en-US" w:eastAsia="zh-CN"/>
        </w:rPr>
        <w:t xml:space="preserve">目前，此类工具已在一些国家实施，包括发达国家和发展中国家。例如，欧盟高级别可持续金融专家组于 2018 年提出，在审慎规则的资本要求中引入“绿色支持”因子和“棕色惩罚”因子，引导银行增加对绿色投资的资金支持，减少对高碳投资的资金支持，并且对银行的环保信贷或绿色债券的资本要求会更低。2010 年，黎巴嫩央行根据银行绿色信贷情况设置不同的存款准备金率。2018 年，人民银行将绿色信贷和绿色债券纳入宏观审慎评估（MPA）框架，将绿色金融业绩评价结果纳入央行金融机构评级，引导金融机构增加绿色资产配置并强化风险管理等。从监管层面鼓励投资者增加低碳投资需求将降低投资成本。如果低碳资产的需求上升，低碳资产的价格将上升，并能降低投资的融资成本。这种监管工具还能与碳税一起发挥协同作用，研究显示当政府征碳税时，绿色债券价格会上升。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（二）</w:t>
      </w:r>
      <w:r>
        <w:rPr>
          <w:rFonts w:hint="default"/>
          <w:lang w:val="en-US" w:eastAsia="zh-CN"/>
        </w:rPr>
        <w:t xml:space="preserve">支持绿色金融证券市场发展的工具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b/>
          <w:bCs/>
          <w:lang w:val="en-US" w:eastAsia="zh-CN"/>
        </w:rPr>
        <w:t>此类工具是金融监管部门为支持绿色金融证券市场发展推出的工具</w:t>
      </w:r>
      <w:r>
        <w:rPr>
          <w:lang w:val="en-US" w:eastAsia="zh-CN"/>
        </w:rPr>
        <w:t xml:space="preserve">。欧洲、中国和印度的绿色债券市场发展迅速。2016 年以来，中国人民银行联合相关部门发布了《关于构建绿色金融体系的指导意见》《落实 &lt; 关于构建绿色金融体系的指导意见 &gt; 的分工方案》等政策，推动中国绿色债券市场快速发展。截至目前，中国发行的绿色债券余额居全球第二。欧洲绿色债券市场快速发展。自 2007 年欧洲投资银行发行全球第一支绿色债券以来，欧洲绿色债券市场取得了快速发展。根据气候债券倡议组织（CBI）发布的报告，2019 年全球绿色债券发行量为 2577 亿美元，其中欧洲发行 1167 亿美元，占全球发行量的 45%。印度绿色债券发行快速上升。2012 年～ 2018 年，印度发行绿色债券总额约为 77 亿美元，2019 年上半年绿色债券交易总额约为103 亿美元，已成为新兴市场中第二大绿色债券发行国。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w:t>
      </w:r>
      <w:r>
        <w:rPr>
          <w:rFonts w:hint="eastAsia"/>
          <w:lang w:val="en-US" w:eastAsia="zh-Hans"/>
        </w:rPr>
        <w:t>三</w:t>
      </w:r>
      <w:r>
        <w:rPr>
          <w:lang w:val="en-US" w:eastAsia="zh-CN"/>
        </w:rPr>
        <w:t>）</w:t>
      </w:r>
      <w:r>
        <w:rPr>
          <w:rFonts w:hint="default"/>
          <w:lang w:val="en-US" w:eastAsia="zh-CN"/>
        </w:rPr>
        <w:t xml:space="preserve">纠正低估气候风险并提升透明度的工具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 xml:space="preserve">为纠正对气候风险的低估并提高气候风险的透明度，可采取搜集和发布气候数据、披露气候风险、气候风险压力测试以及宏观审慎管理等工具。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 xml:space="preserve">1. 应用情况 </w:t>
      </w:r>
    </w:p>
    <w:p>
      <w:pPr>
        <w:keepNext w:val="0"/>
        <w:keepLines w:val="0"/>
        <w:pageBreakBefore w:val="0"/>
        <w:widowControl/>
        <w:suppressLineNumbers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一是</w:t>
      </w:r>
      <w:r>
        <w:rPr>
          <w:u w:val="single"/>
          <w:lang w:val="en-US" w:eastAsia="zh-CN"/>
        </w:rPr>
        <w:t>气候相关信息披露要求</w:t>
      </w:r>
      <w:r>
        <w:rPr>
          <w:lang w:val="en-US" w:eastAsia="zh-CN"/>
        </w:rPr>
        <w:t>。英国金融稳定理事会（FSB）的气候相关财务信息披露工作组（TCFD）以及欧盟议会对低碳标准和信息披露都提出了相关要求。欧盟、新西兰、英国、加拿大等除美国以外的主要发达经济体都致力于推动在企业治理审计中纳入可持续发展考虑，这些国家政府可能考虑强制企业在 2023 年按照 TCFD 披露气候相关信息。</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二是</w:t>
      </w:r>
      <w:r>
        <w:rPr>
          <w:u w:val="single"/>
          <w:lang w:val="en-US" w:eastAsia="zh-CN"/>
        </w:rPr>
        <w:t>气候风险压力测试应用</w:t>
      </w:r>
      <w:r>
        <w:rPr>
          <w:lang w:val="en-US" w:eastAsia="zh-CN"/>
        </w:rPr>
        <w:t>。英国和荷兰在气候风险压力测试上进行了积极探索。英格兰银行近期宣布英国审慎监管当局要求英国保险公司开展气候风险情景分析和压力测试，并计划 2021 年起对英国大型银行开展气候风险压力测试。荷兰央行已对国内 86 家、资产管理总规模 2.3 万亿欧元的金融机构进行了压力测试，证实低碳转型风险将使金融机构蒙受较大损失。</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三是将</w:t>
      </w:r>
      <w:r>
        <w:rPr>
          <w:u w:val="single"/>
          <w:lang w:val="en-US" w:eastAsia="zh-CN"/>
        </w:rPr>
        <w:t>气候风险纳入审慎管理</w:t>
      </w:r>
      <w:r>
        <w:rPr>
          <w:lang w:val="en-US" w:eastAsia="zh-CN"/>
        </w:rPr>
        <w:t xml:space="preserve">。巴西央行要求商业银行将环境风险纳入治理框架，并在计算资本需求时评估和说明如何覆盖环境风险敞口。 </w:t>
      </w:r>
    </w:p>
    <w:p>
      <w:pPr>
        <w:pageBreakBefore w:val="0"/>
        <w:kinsoku/>
        <w:wordWrap/>
        <w:overflowPunct/>
        <w:topLinePunct w:val="0"/>
        <w:autoSpaceDE/>
        <w:autoSpaceDN/>
        <w:bidi w:val="0"/>
        <w:adjustRightInd/>
        <w:snapToGrid/>
        <w:ind w:left="0" w:leftChars="0" w:right="0" w:rightChars="0" w:firstLine="420" w:firstLineChars="200"/>
        <w:jc w:val="both"/>
        <w:textAlignment w:val="auto"/>
      </w:pPr>
      <w:r>
        <w:rPr>
          <w:lang w:val="en-US" w:eastAsia="zh-CN"/>
        </w:rPr>
        <w:t xml:space="preserve">2. 政策效果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 xml:space="preserve">此类工具具有一些优势。一是搜集和发布气候数据能优化气候风险评估和压力测试。二是更好反映气候风险有助于增加绿色市场融资。三是信息披露能改善气候风险定价并提升透明度。 </w:t>
      </w:r>
    </w:p>
    <w:p>
      <w:pPr>
        <w:pageBreakBefore w:val="0"/>
        <w:kinsoku/>
        <w:wordWrap/>
        <w:overflowPunct/>
        <w:topLinePunct w:val="0"/>
        <w:autoSpaceDE/>
        <w:autoSpaceDN/>
        <w:bidi w:val="0"/>
        <w:adjustRightInd/>
        <w:snapToGrid/>
        <w:ind w:left="0" w:leftChars="0" w:right="0" w:rightChars="0" w:firstLine="420" w:firstLineChars="200"/>
        <w:jc w:val="both"/>
        <w:textAlignment w:val="auto"/>
        <w:rPr>
          <w:lang w:val="en-US" w:eastAsia="zh-CN"/>
        </w:rPr>
      </w:pPr>
      <w:r>
        <w:rPr>
          <w:lang w:val="en-US" w:eastAsia="zh-CN"/>
        </w:rPr>
        <w:t>审慎管理能在气候风险管理方面起作用。一是实施资本充足要求能更好反映气候风险。二是宏观审慎政策应考虑系统性气候风险。三是压力测试应包含气候风险。</w:t>
      </w:r>
    </w:p>
    <w:p>
      <w:pPr>
        <w:pStyle w:val="4"/>
        <w:bidi w:val="0"/>
        <w:rPr>
          <w:rFonts w:hint="eastAsia"/>
          <w:lang w:val="en-US" w:eastAsia="zh-Hans"/>
        </w:rPr>
      </w:pPr>
      <w:bookmarkStart w:id="8" w:name="_Toc1543445802_WPSOffice_Level1"/>
      <w:r>
        <w:rPr>
          <w:rFonts w:hint="default"/>
          <w:lang w:eastAsia="zh-Hans"/>
        </w:rPr>
        <w:t>4.</w:t>
      </w:r>
      <w:r>
        <w:rPr>
          <w:rFonts w:hint="eastAsia"/>
          <w:lang w:val="en-US" w:eastAsia="zh-Hans"/>
        </w:rPr>
        <w:t>压力测试案例</w:t>
      </w:r>
      <w:bookmarkEnd w:id="8"/>
    </w:p>
    <w:p>
      <w:pPr>
        <w:pageBreakBefore w:val="0"/>
        <w:kinsoku/>
        <w:wordWrap/>
        <w:overflowPunct/>
        <w:topLinePunct w:val="0"/>
        <w:autoSpaceDE/>
        <w:autoSpaceDN/>
        <w:bidi w:val="0"/>
        <w:adjustRightInd/>
        <w:snapToGrid/>
        <w:ind w:right="0" w:rightChars="0"/>
        <w:jc w:val="both"/>
        <w:textAlignment w:val="auto"/>
        <w:rPr>
          <w:rFonts w:hint="default"/>
          <w:lang w:val="en-US" w:eastAsia="zh-CN"/>
        </w:rPr>
      </w:pPr>
      <w:r>
        <w:rPr>
          <w:rFonts w:hint="eastAsia"/>
          <w:b/>
          <w:bCs/>
          <w:lang w:val="en-US" w:eastAsia="zh-Hans"/>
        </w:rPr>
        <w:t>背景</w:t>
      </w:r>
      <w:r>
        <w:rPr>
          <w:rFonts w:hint="eastAsia"/>
          <w:lang w:val="en-US" w:eastAsia="zh-Hans"/>
        </w:rPr>
        <w:t>：</w:t>
      </w:r>
      <w:r>
        <w:rPr>
          <w:lang w:val="en-US" w:eastAsia="zh-CN"/>
        </w:rPr>
        <w:t>清华大学绿色金融发展研究中心开发了一个</w:t>
      </w:r>
      <w:r>
        <w:rPr>
          <w:rFonts w:hint="default"/>
          <w:lang w:val="en-US" w:eastAsia="zh-CN"/>
        </w:rPr>
        <w:t>气候转型风险分析模型，并针对煤电行业进行了实践分析，以评估煤电行业在应对气候变化为导向的经济转型过程中贷款违约率的变化程度。</w:t>
      </w:r>
    </w:p>
    <w:p>
      <w:pPr>
        <w:keepNext w:val="0"/>
        <w:keepLines w:val="0"/>
        <w:widowControl/>
        <w:suppressLineNumbers w:val="0"/>
        <w:jc w:val="left"/>
        <w:rPr>
          <w:rFonts w:hint="eastAsia"/>
          <w:lang w:val="en-US" w:eastAsia="zh-Hans"/>
        </w:rPr>
      </w:pPr>
      <w:r>
        <w:rPr>
          <w:rFonts w:hint="eastAsia"/>
          <w:b/>
          <w:bCs/>
          <w:lang w:val="en-US" w:eastAsia="zh-Hans"/>
        </w:rPr>
        <w:t>模型衡量的因素</w:t>
      </w:r>
      <w:r>
        <w:rPr>
          <w:rFonts w:hint="eastAsia"/>
          <w:lang w:val="en-US" w:eastAsia="zh-Hans"/>
        </w:rPr>
        <w:t>：</w:t>
      </w:r>
    </w:p>
    <w:p>
      <w:pPr>
        <w:keepNext w:val="0"/>
        <w:keepLines w:val="0"/>
        <w:widowControl/>
        <w:suppressLineNumbers w:val="0"/>
        <w:jc w:val="left"/>
        <w:rPr>
          <w:rFonts w:hint="default"/>
          <w:lang w:val="en-US" w:eastAsia="zh-CN"/>
        </w:rPr>
      </w:pPr>
      <w:r>
        <w:rPr>
          <w:rFonts w:hint="default"/>
          <w:lang w:eastAsia="zh-Hans"/>
        </w:rPr>
        <w:t>1</w:t>
      </w:r>
      <w:r>
        <w:rPr>
          <w:rFonts w:hint="default"/>
          <w:lang w:val="en-US" w:eastAsia="zh-CN"/>
        </w:rPr>
        <w:t>对煤电需求的下降（降低营业收入）；</w:t>
      </w:r>
    </w:p>
    <w:p>
      <w:pPr>
        <w:keepNext w:val="0"/>
        <w:keepLines w:val="0"/>
        <w:widowControl/>
        <w:suppressLineNumbers w:val="0"/>
        <w:jc w:val="left"/>
        <w:rPr>
          <w:rFonts w:hint="default"/>
          <w:lang w:val="en-US" w:eastAsia="zh-CN"/>
        </w:rPr>
      </w:pPr>
      <w:r>
        <w:rPr>
          <w:rFonts w:hint="default"/>
          <w:lang w:eastAsia="zh-CN"/>
        </w:rPr>
        <w:t>2</w:t>
      </w:r>
      <w:r>
        <w:rPr>
          <w:rFonts w:hint="default"/>
          <w:lang w:val="en-US" w:eastAsia="zh-CN"/>
        </w:rPr>
        <w:t>由于新能源成本下降，煤电价格被迫下降（降低营业收入）；</w:t>
      </w:r>
    </w:p>
    <w:p>
      <w:pPr>
        <w:keepNext w:val="0"/>
        <w:keepLines w:val="0"/>
        <w:widowControl/>
        <w:suppressLineNumbers w:val="0"/>
        <w:jc w:val="left"/>
        <w:rPr>
          <w:rFonts w:hint="default"/>
          <w:lang w:val="en-US" w:eastAsia="zh-CN"/>
        </w:rPr>
      </w:pPr>
      <w:r>
        <w:rPr>
          <w:rFonts w:hint="default"/>
          <w:lang w:eastAsia="zh-CN"/>
        </w:rPr>
        <w:t>3</w:t>
      </w:r>
      <w:r>
        <w:rPr>
          <w:rFonts w:hint="default"/>
          <w:lang w:val="en-US" w:eastAsia="zh-CN"/>
        </w:rPr>
        <w:t>碳价上升，使得煤电企业用更高的价格购买配额（提高成本）；</w:t>
      </w:r>
    </w:p>
    <w:p>
      <w:pPr>
        <w:keepNext w:val="0"/>
        <w:keepLines w:val="0"/>
        <w:widowControl/>
        <w:suppressLineNumbers w:val="0"/>
        <w:jc w:val="left"/>
        <w:rPr>
          <w:rFonts w:hint="default"/>
          <w:lang w:val="en-US" w:eastAsia="zh-CN"/>
        </w:rPr>
      </w:pPr>
      <w:r>
        <w:rPr>
          <w:rFonts w:hint="default"/>
          <w:lang w:eastAsia="zh-CN"/>
        </w:rPr>
        <w:t>4</w:t>
      </w:r>
      <w:r>
        <w:rPr>
          <w:rFonts w:hint="default"/>
          <w:lang w:val="en-US" w:eastAsia="zh-CN"/>
        </w:rPr>
        <w:t>由于煤电企业财务状况恶化，评级下降，融资成本上升（提高成本）；</w:t>
      </w:r>
    </w:p>
    <w:p>
      <w:pPr>
        <w:keepNext w:val="0"/>
        <w:keepLines w:val="0"/>
        <w:widowControl/>
        <w:suppressLineNumbers w:val="0"/>
        <w:jc w:val="left"/>
        <w:rPr>
          <w:rFonts w:hint="default"/>
          <w:lang w:val="en-US" w:eastAsia="zh-CN"/>
        </w:rPr>
      </w:pPr>
      <w:r>
        <w:rPr>
          <w:rFonts w:hint="default"/>
          <w:lang w:eastAsia="zh-CN"/>
        </w:rPr>
        <w:t>5</w:t>
      </w:r>
      <w:r>
        <w:rPr>
          <w:rFonts w:hint="default"/>
          <w:lang w:val="en-US" w:eastAsia="zh-CN"/>
        </w:rPr>
        <w:t>金融监管部门可能会提高棕色资产的风险权重，从而提高融资成本（提高成本）。</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default"/>
          <w:lang w:val="en-US" w:eastAsia="zh-CN"/>
        </w:rPr>
      </w:pPr>
      <w:r>
        <w:rPr>
          <w:rFonts w:hint="eastAsia"/>
          <w:lang w:val="en-US" w:eastAsia="zh-Hans"/>
        </w:rPr>
        <w:t>（</w:t>
      </w:r>
      <w:r>
        <w:rPr>
          <w:rFonts w:hint="default"/>
          <w:lang w:val="en-US" w:eastAsia="zh-CN"/>
        </w:rPr>
        <w:t>企业营业收入的下降以及成本的增加会导致企业重要财务指标（例如负债比率、利息保障率和资产收益率）的恶化。作为常见违约率模型的解释性变量，这些财务指标一旦恶化就会导致违约率上升。</w:t>
      </w:r>
      <w:r>
        <w:rPr>
          <w:rFonts w:hint="eastAsia"/>
          <w:lang w:val="en-US" w:eastAsia="zh-Hans"/>
        </w:rPr>
        <w:t>）</w:t>
      </w:r>
    </w:p>
    <w:p>
      <w:pPr>
        <w:keepNext w:val="0"/>
        <w:keepLines w:val="0"/>
        <w:widowControl/>
        <w:suppressLineNumbers w:val="0"/>
        <w:jc w:val="left"/>
        <w:rPr>
          <w:rFonts w:hint="eastAsia"/>
          <w:b/>
          <w:bCs/>
          <w:lang w:val="en-US" w:eastAsia="zh-Hans"/>
        </w:rPr>
      </w:pPr>
      <w:r>
        <w:rPr>
          <w:rFonts w:hint="eastAsia"/>
          <w:b/>
          <w:bCs/>
          <w:lang w:val="en-US" w:eastAsia="zh-Hans"/>
        </w:rPr>
        <w:t>模型分析步骤：</w:t>
      </w:r>
    </w:p>
    <w:p>
      <w:pPr>
        <w:keepNext w:val="0"/>
        <w:keepLines w:val="0"/>
        <w:widowControl/>
        <w:suppressLineNumbers w:val="0"/>
        <w:jc w:val="left"/>
        <w:rPr>
          <w:rFonts w:hint="default"/>
          <w:lang w:val="en-US" w:eastAsia="zh-CN"/>
        </w:rPr>
      </w:pPr>
      <w:r>
        <w:rPr>
          <w:rFonts w:hint="default"/>
          <w:u w:val="single"/>
          <w:lang w:val="en-US" w:eastAsia="zh-CN"/>
        </w:rPr>
        <w:t>第一步是设置气候情景</w:t>
      </w:r>
      <w:r>
        <w:rPr>
          <w:rFonts w:hint="default"/>
          <w:lang w:val="en-US" w:eastAsia="zh-CN"/>
        </w:rPr>
        <w:t>。情景设置一般会包括一个基准情景和若干个转型情景。转型情景一般以《巴黎协定》为导向，以全球或各个国家设定的减排目标为基准。</w:t>
      </w:r>
    </w:p>
    <w:p>
      <w:pPr>
        <w:keepNext w:val="0"/>
        <w:keepLines w:val="0"/>
        <w:widowControl/>
        <w:suppressLineNumbers w:val="0"/>
        <w:jc w:val="left"/>
        <w:rPr>
          <w:rFonts w:hint="default"/>
          <w:lang w:val="en-US" w:eastAsia="zh-CN"/>
        </w:rPr>
      </w:pPr>
      <w:r>
        <w:rPr>
          <w:rFonts w:hint="default"/>
          <w:u w:val="single"/>
          <w:lang w:val="en-US" w:eastAsia="zh-CN"/>
        </w:rPr>
        <w:t>第二步是评估行业和宏观经济影响。</w:t>
      </w:r>
      <w:r>
        <w:rPr>
          <w:rFonts w:hint="default"/>
          <w:lang w:val="en-US" w:eastAsia="zh-CN"/>
        </w:rPr>
        <w:t>这一步基于上述气候情景，利用宏观经济计量模型或综合评价模型来评估在基准和转型情景下行业特别是高碳行业和宏观经济指标的发展变化。</w:t>
      </w:r>
    </w:p>
    <w:p>
      <w:pPr>
        <w:keepNext w:val="0"/>
        <w:keepLines w:val="0"/>
        <w:widowControl/>
        <w:suppressLineNumbers w:val="0"/>
        <w:jc w:val="left"/>
        <w:rPr>
          <w:rFonts w:hint="default"/>
          <w:lang w:val="en-US" w:eastAsia="zh-CN"/>
        </w:rPr>
      </w:pPr>
      <w:r>
        <w:rPr>
          <w:rFonts w:hint="default"/>
          <w:lang w:val="en-US" w:eastAsia="zh-CN"/>
        </w:rPr>
        <w:t>第三步是分析对微观企业的财务影响。这一步把行业和宏观经济层面的影响转化为微观企业受到的影响。</w:t>
      </w:r>
    </w:p>
    <w:p>
      <w:pPr>
        <w:keepNext w:val="0"/>
        <w:keepLines w:val="0"/>
        <w:widowControl/>
        <w:suppressLineNumbers w:val="0"/>
        <w:jc w:val="left"/>
        <w:rPr>
          <w:rFonts w:hint="default"/>
          <w:lang w:val="en-US" w:eastAsia="zh-CN"/>
        </w:rPr>
      </w:pPr>
      <w:r>
        <w:rPr>
          <w:rFonts w:hint="default"/>
          <w:u w:val="single"/>
          <w:lang w:val="en-US" w:eastAsia="zh-CN"/>
        </w:rPr>
        <w:t>第四步是评估金融机构的风险</w:t>
      </w:r>
      <w:r>
        <w:rPr>
          <w:rFonts w:hint="default"/>
          <w:lang w:val="en-US" w:eastAsia="zh-CN"/>
        </w:rPr>
        <w:t>。标的企业的财务指标发生变化之后会影响其金融风险的指标，包括贷款违约率和估值等，进而影响与其有金融业务往来的金融机构的风险。</w:t>
      </w:r>
    </w:p>
    <w:p>
      <w:pPr>
        <w:keepNext w:val="0"/>
        <w:keepLines w:val="0"/>
        <w:widowControl/>
        <w:suppressLineNumbers w:val="0"/>
        <w:jc w:val="left"/>
        <w:rPr>
          <w:rFonts w:hint="default"/>
          <w:lang w:val="en-US" w:eastAsia="zh-CN"/>
        </w:rPr>
      </w:pPr>
      <w:r>
        <w:rPr>
          <w:rFonts w:hint="default"/>
          <w:u w:val="single"/>
          <w:lang w:val="en-US" w:eastAsia="zh-CN"/>
        </w:rPr>
        <w:t>第五步是分析系统性金融风险的影响。</w:t>
      </w:r>
      <w:r>
        <w:rPr>
          <w:rFonts w:hint="default"/>
          <w:lang w:val="en-US" w:eastAsia="zh-CN"/>
        </w:rPr>
        <w:t>单个金融机构风险指标的变化会传导转化成系统性监管指标的变化，这些监管指标包括银行业的核心资本充足率（CET1-ratio）、保险行业的偿付能力充足率（Solvency ratio）和养老金的备付金比率（Coverage ratio）等，是监管机构衡量金融子行业以及金融业整体稳健程度的重要参考。</w:t>
      </w:r>
    </w:p>
    <w:p>
      <w:pPr>
        <w:keepNext w:val="0"/>
        <w:keepLines w:val="0"/>
        <w:widowControl/>
        <w:suppressLineNumbers w:val="0"/>
        <w:jc w:val="left"/>
        <w:rPr>
          <w:rFonts w:hint="default"/>
          <w:b/>
          <w:bCs/>
          <w:lang w:val="en-US" w:eastAsia="zh-CN"/>
        </w:rPr>
      </w:pPr>
      <w:r>
        <w:rPr>
          <w:rFonts w:hint="default"/>
          <w:b/>
          <w:bCs/>
          <w:lang w:val="en-US" w:eastAsia="zh-CN"/>
        </w:rPr>
        <w:t>模型结果：</w:t>
      </w:r>
    </w:p>
    <w:p>
      <w:pPr>
        <w:keepNext w:val="0"/>
        <w:keepLines w:val="0"/>
        <w:widowControl/>
        <w:suppressLineNumbers w:val="0"/>
        <w:jc w:val="left"/>
        <w:rPr>
          <w:rFonts w:hint="default"/>
          <w:lang w:val="en-US" w:eastAsia="zh-CN"/>
        </w:rPr>
      </w:pPr>
      <w:r>
        <w:rPr>
          <w:rFonts w:hint="default"/>
          <w:lang w:val="en-US" w:eastAsia="zh-CN"/>
        </w:rPr>
        <w:t>第一，在《巴黎协定》的2度情景所要求的能源转型轨迹下，由于需求下降、新能源发电成本持续下降带来的价格竞争加剧、融资成本上升会使中国主要煤电企业的年度违约概率（以下简称违约概率）从 2020 年的不到 3% 上升到 2030 年的 24% 左右；</w:t>
      </w:r>
    </w:p>
    <w:p>
      <w:pPr>
        <w:keepNext w:val="0"/>
        <w:keepLines w:val="0"/>
        <w:widowControl/>
        <w:suppressLineNumbers w:val="0"/>
        <w:jc w:val="left"/>
        <w:rPr>
          <w:rFonts w:hint="default"/>
          <w:lang w:val="en-US" w:eastAsia="zh-CN"/>
        </w:rPr>
      </w:pPr>
      <w:r>
        <w:rPr>
          <w:rFonts w:hint="default"/>
          <w:lang w:val="en-US" w:eastAsia="zh-CN"/>
        </w:rPr>
        <w:t>第二，若仅考虑新能源价格竞争和融资成本因素，中国主要煤电企业的违约概率将从 2020 年的不到 3% 上升到 2030 年的 13% 左右；第三，若仅考虑碳价上升和融资成本因素，中国主要煤电企业的违约概率将从 2020年的不到 3% 上升到 2030 年的 12% 左右；第四，若仅考虑市场需求下降和融资成本因素，中国主要煤电企业的违约概率将从 2020 年的不到 3% 上升到 2030 年的 9% 左右。</w:t>
      </w:r>
    </w:p>
    <w:p>
      <w:pPr>
        <w:keepNext w:val="0"/>
        <w:keepLines w:val="0"/>
        <w:widowControl/>
        <w:suppressLineNumbers w:val="0"/>
        <w:jc w:val="left"/>
        <w:rPr>
          <w:rFonts w:hint="default"/>
          <w:lang w:eastAsia="zh-CN"/>
        </w:rPr>
      </w:pPr>
      <w:r>
        <w:rPr>
          <w:rFonts w:hint="default"/>
          <w:lang w:eastAsia="zh-CN"/>
        </w:rPr>
        <w:drawing>
          <wp:inline distT="0" distB="0" distL="114300" distR="114300">
            <wp:extent cx="4527550" cy="2508885"/>
            <wp:effectExtent l="0" t="0" r="19050" b="5715"/>
            <wp:docPr id="1" name="图片 1" descr="截屏2022-03-21 下午12.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2-03-21 下午12.21.29"/>
                    <pic:cNvPicPr>
                      <a:picLocks noChangeAspect="1"/>
                    </pic:cNvPicPr>
                  </pic:nvPicPr>
                  <pic:blipFill>
                    <a:blip r:embed="rId4"/>
                    <a:stretch>
                      <a:fillRect/>
                    </a:stretch>
                  </pic:blipFill>
                  <pic:spPr>
                    <a:xfrm>
                      <a:off x="0" y="0"/>
                      <a:ext cx="4527550" cy="2508885"/>
                    </a:xfrm>
                    <a:prstGeom prst="rect">
                      <a:avLst/>
                    </a:prstGeom>
                  </pic:spPr>
                </pic:pic>
              </a:graphicData>
            </a:graphic>
          </wp:inline>
        </w:drawing>
      </w:r>
    </w:p>
    <w:p>
      <w:pPr>
        <w:keepNext w:val="0"/>
        <w:keepLines w:val="0"/>
        <w:widowControl/>
        <w:suppressLineNumbers w:val="0"/>
        <w:jc w:val="left"/>
        <w:rPr>
          <w:rFonts w:hint="default"/>
          <w:lang w:val="en-US" w:eastAsia="zh-CN"/>
        </w:rPr>
      </w:pPr>
      <w:r>
        <w:drawing>
          <wp:inline distT="0" distB="0" distL="114300" distR="114300">
            <wp:extent cx="5045075" cy="2713990"/>
            <wp:effectExtent l="0" t="0" r="952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045075" cy="2713990"/>
                    </a:xfrm>
                    <a:prstGeom prst="rect">
                      <a:avLst/>
                    </a:prstGeom>
                    <a:noFill/>
                    <a:ln w="9525">
                      <a:noFill/>
                    </a:ln>
                  </pic:spPr>
                </pic:pic>
              </a:graphicData>
            </a:graphic>
          </wp:inline>
        </w:drawing>
      </w:r>
      <w:r>
        <w:rPr>
          <w:rFonts w:hint="default"/>
          <w:lang w:val="en-US" w:eastAsia="zh-CN"/>
        </w:rPr>
        <w:drawing>
          <wp:inline distT="0" distB="0" distL="114300" distR="114300">
            <wp:extent cx="5267325" cy="2834005"/>
            <wp:effectExtent l="0" t="0" r="15875" b="10795"/>
            <wp:docPr id="3" name="图片 3" descr="截屏2022-03-20 下午7.1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2-03-20 下午7.17.08"/>
                    <pic:cNvPicPr>
                      <a:picLocks noChangeAspect="1"/>
                    </pic:cNvPicPr>
                  </pic:nvPicPr>
                  <pic:blipFill>
                    <a:blip r:embed="rId6"/>
                    <a:stretch>
                      <a:fillRect/>
                    </a:stretch>
                  </pic:blipFill>
                  <pic:spPr>
                    <a:xfrm>
                      <a:off x="0" y="0"/>
                      <a:ext cx="5267325" cy="2834005"/>
                    </a:xfrm>
                    <a:prstGeom prst="rect">
                      <a:avLst/>
                    </a:prstGeom>
                  </pic:spPr>
                </pic:pic>
              </a:graphicData>
            </a:graphic>
          </wp:inline>
        </w:drawing>
      </w:r>
    </w:p>
    <w:p>
      <w:pPr>
        <w:keepNext w:val="0"/>
        <w:keepLines w:val="0"/>
        <w:widowControl/>
        <w:suppressLineNumbers w:val="0"/>
        <w:jc w:val="left"/>
      </w:pPr>
    </w:p>
    <w:p>
      <w:pPr>
        <w:keepNext w:val="0"/>
        <w:keepLines w:val="0"/>
        <w:widowControl/>
        <w:suppressLineNumbers w:val="0"/>
        <w:jc w:val="left"/>
        <w:rPr>
          <w:rFonts w:hint="default" w:ascii="FZSSJW--GB1-0" w:hAnsi="FZSSJW--GB1-0" w:eastAsia="FZSSJW--GB1-0" w:cs="FZSSJW--GB1-0"/>
          <w:color w:val="231F20"/>
          <w:kern w:val="0"/>
          <w:sz w:val="20"/>
          <w:szCs w:val="20"/>
          <w:lang w:val="en-US" w:eastAsia="zh-CN" w:bidi="ar"/>
        </w:rPr>
      </w:pPr>
    </w:p>
    <w:p>
      <w:pPr>
        <w:rPr>
          <w:rFonts w:hint="eastAsia" w:eastAsia="宋体"/>
          <w:lang w:val="en-US" w:eastAsia="zh-Hans"/>
        </w:rPr>
      </w:pPr>
      <w:r>
        <w:rPr>
          <w:rFonts w:hint="eastAsia"/>
          <w:lang w:val="en-US" w:eastAsia="zh-Hans"/>
        </w:rPr>
        <w:t>参考文献</w:t>
      </w:r>
      <w:bookmarkStart w:id="9" w:name="_GoBack"/>
      <w:bookmarkEnd w:id="9"/>
    </w:p>
    <w:p>
      <w:pPr>
        <w:rPr>
          <w:rFonts w:hint="eastAsia"/>
        </w:rPr>
      </w:pPr>
      <w:r>
        <w:rPr>
          <w:rFonts w:hint="eastAsia"/>
        </w:rPr>
        <w:t>[1]陈雨露.当前全球中央银行研究的若干重点问题[J].金融研究,2020(02):1-14.</w:t>
      </w:r>
    </w:p>
    <w:p>
      <w:pPr>
        <w:rPr>
          <w:rFonts w:hint="eastAsia"/>
        </w:rPr>
      </w:pPr>
      <w:r>
        <w:rPr>
          <w:rFonts w:hint="eastAsia"/>
        </w:rPr>
        <w:t>[</w:t>
      </w:r>
      <w:r>
        <w:rPr>
          <w:rFonts w:hint="default"/>
        </w:rPr>
        <w:t>2</w:t>
      </w:r>
      <w:r>
        <w:rPr>
          <w:rFonts w:hint="eastAsia"/>
        </w:rPr>
        <w:t>]黑田东彦.完善金融体系以应对气候变化的相关风险——基于中央银行视角[J].当代金融家,2021(05):157-159.</w:t>
      </w:r>
    </w:p>
    <w:p>
      <w:pPr>
        <w:rPr>
          <w:rFonts w:hint="eastAsia"/>
        </w:rPr>
      </w:pPr>
      <w:r>
        <w:rPr>
          <w:rFonts w:hint="eastAsia"/>
        </w:rPr>
        <w:t>[</w:t>
      </w:r>
      <w:r>
        <w:rPr>
          <w:rFonts w:hint="default"/>
        </w:rPr>
        <w:t>3</w:t>
      </w:r>
      <w:r>
        <w:rPr>
          <w:rFonts w:hint="eastAsia"/>
        </w:rPr>
        <w:t>].中国人民银行副行长刘桂平:关于金融支持碳达峰、碳中和的几点认识[J].中国金融家,2021(06):22-23.</w:t>
      </w:r>
    </w:p>
    <w:p>
      <w:pPr>
        <w:rPr>
          <w:rFonts w:hint="eastAsia"/>
        </w:rPr>
      </w:pPr>
      <w:r>
        <w:rPr>
          <w:rFonts w:hint="eastAsia"/>
        </w:rPr>
        <w:t>[</w:t>
      </w:r>
      <w:r>
        <w:rPr>
          <w:rFonts w:hint="default"/>
        </w:rPr>
        <w:t>4</w:t>
      </w:r>
      <w:r>
        <w:rPr>
          <w:rFonts w:hint="eastAsia"/>
        </w:rPr>
        <w:t>]王信,杨娉,张薇薇.将气候变化相关风险纳入央行政策框架的争论和国际实践[J].清华金融评论,2020(09):21-25.</w:t>
      </w:r>
    </w:p>
    <w:p>
      <w:pPr>
        <w:rPr>
          <w:rFonts w:hint="eastAsia"/>
        </w:rPr>
      </w:pPr>
      <w:r>
        <w:rPr>
          <w:rFonts w:hint="eastAsia"/>
        </w:rPr>
        <w:t>[</w:t>
      </w:r>
      <w:r>
        <w:rPr>
          <w:rFonts w:hint="default"/>
        </w:rPr>
        <w:t>5</w:t>
      </w:r>
      <w:r>
        <w:rPr>
          <w:rFonts w:hint="eastAsia"/>
        </w:rPr>
        <w:t>]郭新明.气候风险对金融稳定与货币政策目标实现的影响及应对[J].金融纵横,2020(01):3-13.</w:t>
      </w:r>
    </w:p>
    <w:p>
      <w:pPr>
        <w:rPr>
          <w:rFonts w:hint="eastAsia"/>
        </w:rPr>
      </w:pPr>
      <w:r>
        <w:rPr>
          <w:rFonts w:hint="eastAsia"/>
        </w:rPr>
        <w:t>[</w:t>
      </w:r>
      <w:r>
        <w:rPr>
          <w:rFonts w:hint="default"/>
        </w:rPr>
        <w:t>6</w:t>
      </w:r>
      <w:r>
        <w:rPr>
          <w:rFonts w:hint="eastAsia"/>
        </w:rPr>
        <w:t>]汪昊旻.应对气候变化的宏观经济金融政策工具及运用情况[J].现代商业,2021(18):103-105.</w:t>
      </w:r>
    </w:p>
    <w:p>
      <w:pPr>
        <w:rPr>
          <w:rFonts w:hint="eastAsia"/>
        </w:rPr>
      </w:pPr>
      <w:r>
        <w:rPr>
          <w:rFonts w:hint="eastAsia"/>
        </w:rPr>
        <w:t>[</w:t>
      </w:r>
      <w:r>
        <w:rPr>
          <w:rFonts w:hint="default"/>
        </w:rPr>
        <w:t>7</w:t>
      </w:r>
      <w:r>
        <w:rPr>
          <w:rFonts w:hint="eastAsia"/>
        </w:rPr>
        <w:t>]方溯源,刘志惠,方雄鹰.气候变化引起的金融风险与防范[J].西部金融,2021(01):19-23.</w:t>
      </w:r>
    </w:p>
    <w:p>
      <w:pPr>
        <w:rPr>
          <w:rFonts w:hint="eastAsia"/>
        </w:rPr>
      </w:pPr>
      <w:r>
        <w:rPr>
          <w:rFonts w:hint="eastAsia"/>
        </w:rPr>
        <w:t>[</w:t>
      </w:r>
      <w:r>
        <w:rPr>
          <w:rFonts w:hint="default"/>
        </w:rPr>
        <w:t>8</w:t>
      </w:r>
      <w:r>
        <w:rPr>
          <w:rFonts w:hint="eastAsia"/>
        </w:rPr>
        <w:t>]米晓文,邱晔华.应对气候变化引发金融风险的宏观审慎管理[J].经济研究参考,2021(17):114-127.</w:t>
      </w:r>
    </w:p>
    <w:p>
      <w:pPr>
        <w:rPr>
          <w:rFonts w:hint="eastAsia"/>
        </w:rPr>
      </w:pPr>
      <w:r>
        <w:rPr>
          <w:rFonts w:hint="eastAsia"/>
        </w:rPr>
        <w:t>[</w:t>
      </w:r>
      <w:r>
        <w:rPr>
          <w:rFonts w:hint="default"/>
        </w:rPr>
        <w:t>9</w:t>
      </w:r>
      <w:r>
        <w:rPr>
          <w:rFonts w:hint="eastAsia"/>
        </w:rPr>
        <w:t>]方琦,钱立华,鲁政委.金融机构气候与环境风险应对之策：情景分析和压力测试[J].现代商业银行,2021(19):22-28.</w:t>
      </w:r>
    </w:p>
    <w:p>
      <w:pPr>
        <w:rPr>
          <w:rFonts w:hint="default"/>
        </w:rPr>
      </w:pPr>
      <w:r>
        <w:rPr>
          <w:rFonts w:hint="default"/>
        </w:rPr>
        <w:t>[10]</w:t>
      </w:r>
      <w:r>
        <w:rPr>
          <w:rFonts w:hint="eastAsia"/>
        </w:rPr>
        <w:t>Climate Scenarios for central banks and supervisors[</w:t>
      </w:r>
      <w:r>
        <w:rPr>
          <w:rFonts w:hint="eastAsia"/>
          <w:lang w:val="en-US" w:eastAsia="zh-Hans"/>
        </w:rPr>
        <w:t>R</w:t>
      </w:r>
      <w:r>
        <w:rPr>
          <w:rFonts w:hint="eastAsia"/>
        </w:rPr>
        <w:t>]</w:t>
      </w:r>
      <w:r>
        <w:rPr>
          <w:rFonts w:hint="default"/>
        </w:rPr>
        <w:t>.NGFS,2021:17-18.</w:t>
      </w:r>
    </w:p>
    <w:p>
      <w:pPr>
        <w:rPr>
          <w:rFonts w:hint="default"/>
        </w:rPr>
      </w:pPr>
      <w:r>
        <w:rPr>
          <w:rFonts w:hint="default" w:cstheme="minorBidi"/>
          <w:b w:val="0"/>
          <w:kern w:val="2"/>
          <w:sz w:val="21"/>
          <w:szCs w:val="24"/>
          <w:lang w:eastAsia="zh-CN" w:bidi="ar-SA"/>
        </w:rPr>
        <w:t>[11]</w:t>
      </w:r>
      <w:r>
        <w:rPr>
          <w:rFonts w:hint="default" w:asciiTheme="minorHAnsi" w:hAnsiTheme="minorHAnsi" w:eastAsiaTheme="minorEastAsia" w:cstheme="minorBidi"/>
          <w:b w:val="0"/>
          <w:kern w:val="2"/>
          <w:sz w:val="21"/>
          <w:szCs w:val="24"/>
          <w:lang w:val="en-US" w:eastAsia="zh-CN" w:bidi="ar-SA"/>
        </w:rPr>
        <w:t>FSB Roadmap for Addressing Climate-related Financial Risks</w:t>
      </w:r>
      <w:r>
        <w:rPr>
          <w:rFonts w:hint="eastAsia"/>
        </w:rPr>
        <w:t>[</w:t>
      </w:r>
      <w:r>
        <w:rPr>
          <w:rFonts w:hint="eastAsia"/>
          <w:lang w:val="en-US" w:eastAsia="zh-Hans"/>
        </w:rPr>
        <w:t>R</w:t>
      </w:r>
      <w:r>
        <w:rPr>
          <w:rFonts w:hint="eastAsia"/>
        </w:rPr>
        <w:t>]</w:t>
      </w:r>
      <w:r>
        <w:rPr>
          <w:rFonts w:hint="default"/>
        </w:rPr>
        <w:t>.</w:t>
      </w:r>
      <w:r>
        <w:rPr>
          <w:rFonts w:hint="eastAsia"/>
          <w:lang w:val="en-US" w:eastAsia="zh-Hans"/>
        </w:rPr>
        <w:t>FSB</w:t>
      </w:r>
      <w:r>
        <w:rPr>
          <w:rFonts w:hint="default"/>
        </w:rPr>
        <w:t>,2021:10-11.</w:t>
      </w:r>
    </w:p>
    <w:p>
      <w:pPr>
        <w:keepNext w:val="0"/>
        <w:keepLines w:val="0"/>
        <w:widowControl/>
        <w:suppressLineNumbers w:val="0"/>
        <w:ind w:firstLine="420"/>
        <w:jc w:val="left"/>
        <w:rPr>
          <w:rFonts w:hint="default" w:ascii="FZSSJW--GB1-0" w:hAnsi="FZSSJW--GB1-0" w:eastAsia="FZSSJW--GB1-0" w:cs="FZSSJW--GB1-0"/>
          <w:color w:val="231F20"/>
          <w:kern w:val="0"/>
          <w:sz w:val="20"/>
          <w:szCs w:val="20"/>
          <w:lang w:val="en-US" w:eastAsia="zh-CN" w:bidi="ar"/>
        </w:rPr>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bidi w:val="0"/>
      </w:pPr>
    </w:p>
    <w:p>
      <w:pPr>
        <w:bidi w:val="0"/>
        <w:rPr>
          <w:lang w:val="en-US" w:eastAsia="zh-CN"/>
        </w:rPr>
      </w:pPr>
    </w:p>
    <w:p>
      <w:pPr>
        <w:bidi w:val="0"/>
        <w:rPr>
          <w:rFonts w:hint="default"/>
          <w:lang w:val="en-US" w:eastAsia="zh-CN"/>
        </w:rPr>
      </w:pPr>
    </w:p>
    <w:p>
      <w:pPr>
        <w:bidi w:val="0"/>
      </w:pPr>
    </w:p>
    <w:p>
      <w:pPr>
        <w:bidi w:val="0"/>
      </w:pPr>
    </w:p>
    <w:p>
      <w:pPr>
        <w:bidi w:val="0"/>
      </w:pPr>
    </w:p>
    <w:p>
      <w:pPr>
        <w:bidi w:val="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E-BZ">
    <w:altName w:val="苹方-简"/>
    <w:panose1 w:val="00000000000000000000"/>
    <w:charset w:val="00"/>
    <w:family w:val="auto"/>
    <w:pitch w:val="default"/>
    <w:sig w:usb0="00000000" w:usb1="00000000" w:usb2="00000000" w:usb3="00000000" w:csb0="00000000" w:csb1="00000000"/>
  </w:font>
  <w:font w:name="KTJ0">
    <w:altName w:val="苹方-简"/>
    <w:panose1 w:val="00000000000000000000"/>
    <w:charset w:val="00"/>
    <w:family w:val="auto"/>
    <w:pitch w:val="default"/>
    <w:sig w:usb0="00000000" w:usb1="00000000" w:usb2="00000000" w:usb3="00000000" w:csb0="00000000" w:csb1="00000000"/>
  </w:font>
  <w:font w:name="SSJ0">
    <w:altName w:val="苹方-简"/>
    <w:panose1 w:val="00000000000000000000"/>
    <w:charset w:val="00"/>
    <w:family w:val="auto"/>
    <w:pitch w:val="default"/>
    <w:sig w:usb0="00000000" w:usb1="00000000" w:usb2="00000000" w:usb3="00000000" w:csb0="00000000" w:csb1="00000000"/>
  </w:font>
  <w:font w:name="FZLTCHK--GBK1-0">
    <w:altName w:val="苹方-简"/>
    <w:panose1 w:val="00000000000000000000"/>
    <w:charset w:val="00"/>
    <w:family w:val="auto"/>
    <w:pitch w:val="default"/>
    <w:sig w:usb0="00000000" w:usb1="00000000" w:usb2="00000000" w:usb3="00000000" w:csb0="00000000" w:csb1="00000000"/>
  </w:font>
  <w:font w:name="FZBYFKSK--GBK1-0">
    <w:altName w:val="苹方-简"/>
    <w:panose1 w:val="00000000000000000000"/>
    <w:charset w:val="00"/>
    <w:family w:val="auto"/>
    <w:pitch w:val="default"/>
    <w:sig w:usb0="00000000" w:usb1="00000000" w:usb2="00000000" w:usb3="00000000" w:csb0="00000000" w:csb1="00000000"/>
  </w:font>
  <w:font w:name="FZLTZHK--GBK1-0">
    <w:altName w:val="苹方-简"/>
    <w:panose1 w:val="00000000000000000000"/>
    <w:charset w:val="00"/>
    <w:family w:val="auto"/>
    <w:pitch w:val="default"/>
    <w:sig w:usb0="00000000" w:usb1="00000000" w:usb2="00000000" w:usb3="00000000" w:csb0="00000000" w:csb1="00000000"/>
  </w:font>
  <w:font w:name="HYb1gj">
    <w:altName w:val="苹方-简"/>
    <w:panose1 w:val="00000000000000000000"/>
    <w:charset w:val="00"/>
    <w:family w:val="auto"/>
    <w:pitch w:val="default"/>
    <w:sig w:usb0="00000000" w:usb1="00000000" w:usb2="00000000" w:usb3="00000000" w:csb0="00000000" w:csb1="00000000"/>
  </w:font>
  <w:font w:name="华文宋体">
    <w:panose1 w:val="02010600040101010101"/>
    <w:charset w:val="86"/>
    <w:family w:val="auto"/>
    <w:pitch w:val="default"/>
    <w:sig w:usb0="80000287" w:usb1="280F3C52" w:usb2="00000016" w:usb3="00000000" w:csb0="0004001F" w:csb1="00000000"/>
  </w:font>
  <w:font w:name="华文楷体">
    <w:altName w:val="苹方-简"/>
    <w:panose1 w:val="00000000000000000000"/>
    <w:charset w:val="00"/>
    <w:family w:val="auto"/>
    <w:pitch w:val="default"/>
    <w:sig w:usb0="00000000" w:usb1="00000000" w:usb2="00000000" w:usb3="00000000" w:csb0="00000000" w:csb1="00000000"/>
  </w:font>
  <w:font w:name="Calibri Light">
    <w:altName w:val="Helvetica Neue"/>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FZSSJW--GB1-0">
    <w:altName w:val="苹方-简"/>
    <w:panose1 w:val="00000000000000000000"/>
    <w:charset w:val="00"/>
    <w:family w:val="auto"/>
    <w:pitch w:val="default"/>
    <w:sig w:usb0="00000000" w:usb1="00000000" w:usb2="00000000" w:usb3="00000000" w:csb0="00000000" w:csb1="00000000"/>
  </w:font>
  <w:font w:name="冬青黑体简体中文">
    <w:panose1 w:val="020B0300000000000000"/>
    <w:charset w:val="86"/>
    <w:family w:val="auto"/>
    <w:pitch w:val="default"/>
    <w:sig w:usb0="A00002BF" w:usb1="1ACF7CFA" w:usb2="00000016" w:usb3="00000000" w:csb0="00060007" w:csb1="00000000"/>
  </w:font>
  <w:font w:name="MyriadPro-Bold">
    <w:altName w:val="苹方-简"/>
    <w:panose1 w:val="00000000000000000000"/>
    <w:charset w:val="00"/>
    <w:family w:val="auto"/>
    <w:pitch w:val="default"/>
    <w:sig w:usb0="00000000" w:usb1="00000000" w:usb2="00000000" w:usb3="00000000" w:csb0="00000000" w:csb1="00000000"/>
  </w:font>
  <w:font w:name="MyriadPro-Regular">
    <w:altName w:val="苹方-简"/>
    <w:panose1 w:val="00000000000000000000"/>
    <w:charset w:val="00"/>
    <w:family w:val="auto"/>
    <w:pitch w:val="default"/>
    <w:sig w:usb0="00000000" w:usb1="00000000" w:usb2="00000000" w:usb3="00000000" w:csb0="00000000" w:csb1="00000000"/>
  </w:font>
  <w:font w:name="OpenSans">
    <w:altName w:val="苹方-简"/>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7F6AE"/>
    <w:multiLevelType w:val="singleLevel"/>
    <w:tmpl w:val="6237F6AE"/>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EED2E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qFormat/>
    <w:uiPriority w:val="0"/>
    <w:pPr>
      <w:keepNext/>
      <w:keepLines/>
      <w:spacing w:before="340" w:beforeAutospacing="0" w:after="330" w:afterAutospacing="0" w:line="576" w:lineRule="auto"/>
      <w:outlineLvl w:val="0"/>
    </w:pPr>
    <w:rPr>
      <w:b/>
      <w:kern w:val="44"/>
      <w:sz w:val="44"/>
    </w:rPr>
  </w:style>
  <w:style w:type="paragraph" w:styleId="3">
    <w:name w:val="heading 2"/>
    <w:basedOn w:val="1"/>
    <w:next w:val="1"/>
    <w:qFormat/>
    <w:uiPriority w:val="0"/>
    <w:pPr>
      <w:keepNext/>
      <w:keepLines/>
      <w:spacing w:before="260" w:beforeAutospacing="0" w:after="260" w:afterAutospacing="0" w:line="413" w:lineRule="auto"/>
      <w:outlineLvl w:val="1"/>
    </w:pPr>
    <w:rPr>
      <w:rFonts w:ascii="DejaVu Sans" w:hAnsi="DejaVu Sans" w:eastAsia="方正黑体_GBK"/>
      <w:b/>
      <w:sz w:val="32"/>
    </w:rPr>
  </w:style>
  <w:style w:type="paragraph" w:styleId="4">
    <w:name w:val="heading 3"/>
    <w:basedOn w:val="1"/>
    <w:next w:val="1"/>
    <w:qFormat/>
    <w:uiPriority w:val="0"/>
    <w:pPr>
      <w:keepNext/>
      <w:keepLines/>
      <w:spacing w:before="260" w:beforeAutospacing="0" w:after="260" w:afterAutospacing="0" w:line="413" w:lineRule="auto"/>
      <w:outlineLvl w:val="2"/>
    </w:pPr>
    <w:rPr>
      <w:rFonts w:ascii="Calibri" w:hAnsi="Calibri"/>
      <w:b/>
      <w:sz w:val="28"/>
    </w:rPr>
  </w:style>
  <w:style w:type="character" w:default="1" w:styleId="5">
    <w:name w:val="Default Paragraph Font"/>
    <w:qFormat/>
    <w:uiPriority w:val="0"/>
  </w:style>
  <w:style w:type="table" w:default="1" w:styleId="6">
    <w:name w:val="Normal Table"/>
    <w:qFormat/>
    <w:uiPriority w:val="0"/>
    <w:tblPr>
      <w:tblCellMar>
        <w:top w:w="0" w:type="dxa"/>
        <w:left w:w="108" w:type="dxa"/>
        <w:bottom w:w="0" w:type="dxa"/>
        <w:right w:w="108" w:type="dxa"/>
      </w:tblCellMar>
    </w:tblPr>
  </w:style>
  <w:style w:type="paragraph" w:customStyle="1" w:styleId="7">
    <w:name w:val="WPSOffice手动目录 1"/>
    <w:uiPriority w:val="0"/>
    <w:pPr>
      <w:ind w:leftChars="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glossaryDocument" Target="glossary/document.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7bb48bb6-6ec2-4d41-95af-3c2ea2445487}"/>
        <w:style w:val=""/>
        <w:category>
          <w:name w:val="常规"/>
          <w:gallery w:val="placeholder"/>
        </w:category>
        <w:types>
          <w:type w:val="bbPlcHdr"/>
        </w:types>
        <w:behaviors>
          <w:behavior w:val="content"/>
        </w:behaviors>
        <w:description w:val=""/>
        <w:guid w:val="{7bb48bb6-6ec2-4d41-95af-3c2ea2445487}"/>
      </w:docPartPr>
      <w:docPartBody>
        <w:p>
          <w:r>
            <w:rPr>
              <w:color w:val="808080"/>
            </w:rPr>
            <w:t>单击此处输入文字。</w:t>
          </w:r>
        </w:p>
      </w:docPartBody>
    </w:docPart>
    <w:docPart>
      <w:docPartPr>
        <w:name w:val="{f38c26c9-b713-4608-9dac-a6d356bb6957}"/>
        <w:style w:val=""/>
        <w:category>
          <w:name w:val="常规"/>
          <w:gallery w:val="placeholder"/>
        </w:category>
        <w:types>
          <w:type w:val="bbPlcHdr"/>
        </w:types>
        <w:behaviors>
          <w:behavior w:val="content"/>
        </w:behaviors>
        <w:description w:val=""/>
        <w:guid w:val="{f38c26c9-b713-4608-9dac-a6d356bb6957}"/>
      </w:docPartPr>
      <w:docPartBody>
        <w:p>
          <w:r>
            <w:rPr>
              <w:color w:val="808080"/>
            </w:rPr>
            <w:t>单击此处输入文字。</w:t>
          </w:r>
        </w:p>
      </w:docPartBody>
    </w:docPart>
    <w:docPart>
      <w:docPartPr>
        <w:name w:val="{397a25ca-8ac0-462e-ac51-d628eb7d25d0}"/>
        <w:style w:val=""/>
        <w:category>
          <w:name w:val="常规"/>
          <w:gallery w:val="placeholder"/>
        </w:category>
        <w:types>
          <w:type w:val="bbPlcHdr"/>
        </w:types>
        <w:behaviors>
          <w:behavior w:val="content"/>
        </w:behaviors>
        <w:description w:val=""/>
        <w:guid w:val="{397a25ca-8ac0-462e-ac51-d628eb7d25d0}"/>
      </w:docPartPr>
      <w:docPartBody>
        <w:p>
          <w:r>
            <w:rPr>
              <w:color w:val="808080"/>
            </w:rPr>
            <w:t>单击此处输入文字。</w:t>
          </w:r>
        </w:p>
      </w:docPartBody>
    </w:docPart>
    <w:docPart>
      <w:docPartPr>
        <w:name w:val="{417c87a1-ddc9-46bf-9845-f19c3f0ae51e}"/>
        <w:style w:val=""/>
        <w:category>
          <w:name w:val="常规"/>
          <w:gallery w:val="placeholder"/>
        </w:category>
        <w:types>
          <w:type w:val="bbPlcHdr"/>
        </w:types>
        <w:behaviors>
          <w:behavior w:val="content"/>
        </w:behaviors>
        <w:description w:val=""/>
        <w:guid w:val="{417c87a1-ddc9-46bf-9845-f19c3f0ae51e}"/>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6056</Words>
  <Characters>6315</Characters>
  <Paragraphs>58</Paragraphs>
  <ScaleCrop>false</ScaleCrop>
  <LinksUpToDate>false</LinksUpToDate>
  <CharactersWithSpaces>6477</CharactersWithSpaces>
  <Application>WPS Office_3.9.1.6204_F1E327BC-269C-435d-A152-05C5408002CA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2022-03-16T16:15:00Z</dcterms:created>
  <dc:creator>nichenhao</dc:creator>
  <cp:lastModifiedBy>nichenhao</cp:lastModifiedBy>
  <dcterms:modified xsi:type="dcterms:W3CDTF">2022-03-21T12:42:26Z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c3bcb1cc0b884d1ba88940b5cfb27ac1</vt:lpwstr>
  </property>
</Properties>
</file>