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4"/>
          <w:szCs w:val="24"/>
          <w:lang w:val="en-US" w:eastAsia="zh-CN"/>
        </w:rPr>
      </w:pPr>
      <w:r>
        <w:rPr>
          <w:rFonts w:hint="eastAsia"/>
          <w:b/>
          <w:bCs/>
          <w:sz w:val="24"/>
          <w:szCs w:val="24"/>
          <w:lang w:val="en-US" w:eastAsia="zh-CN"/>
        </w:rPr>
        <w:t>演讲稿 by 张殷璇烨</w:t>
      </w:r>
    </w:p>
    <w:p>
      <w:pPr>
        <w:jc w:val="center"/>
        <w:rPr>
          <w:rFonts w:hint="default"/>
          <w:b/>
          <w:bCs/>
          <w:sz w:val="24"/>
          <w:szCs w:val="24"/>
          <w:lang w:val="en-US" w:eastAsia="zh-CN"/>
        </w:rPr>
      </w:pPr>
      <w:r>
        <w:rPr>
          <w:rFonts w:hint="eastAsia"/>
          <w:b/>
          <w:bCs/>
          <w:sz w:val="24"/>
          <w:szCs w:val="24"/>
          <w:lang w:val="en-US" w:eastAsia="zh-CN"/>
        </w:rPr>
        <w:t>PART ONE</w:t>
      </w:r>
    </w:p>
    <w:p>
      <w:pPr>
        <w:numPr>
          <w:ilvl w:val="0"/>
          <w:numId w:val="0"/>
        </w:numPr>
        <w:ind w:firstLine="400" w:firstLineChars="200"/>
        <w:jc w:val="both"/>
        <w:rPr>
          <w:rFonts w:hint="eastAsia"/>
          <w:sz w:val="20"/>
          <w:szCs w:val="22"/>
          <w:lang w:val="en-US" w:eastAsia="zh-CN"/>
        </w:rPr>
      </w:pPr>
      <w:r>
        <w:rPr>
          <w:rFonts w:hint="eastAsia"/>
          <w:sz w:val="20"/>
          <w:szCs w:val="22"/>
          <w:lang w:val="en-US" w:eastAsia="zh-CN"/>
        </w:rPr>
        <w:t>相信大家都听说过“黑天鹅”事件，那么什么是“绿天鹅”呢？</w:t>
      </w:r>
    </w:p>
    <w:p>
      <w:pPr>
        <w:numPr>
          <w:ilvl w:val="0"/>
          <w:numId w:val="0"/>
        </w:numPr>
        <w:ind w:firstLine="400" w:firstLineChars="200"/>
        <w:jc w:val="both"/>
        <w:rPr>
          <w:rFonts w:hint="eastAsia"/>
          <w:sz w:val="20"/>
          <w:szCs w:val="22"/>
          <w:lang w:val="en-US" w:eastAsia="zh-CN"/>
        </w:rPr>
      </w:pPr>
      <w:r>
        <w:rPr>
          <w:rFonts w:hint="eastAsia"/>
          <w:sz w:val="20"/>
          <w:szCs w:val="22"/>
          <w:lang w:val="en-US" w:eastAsia="zh-CN"/>
        </w:rPr>
        <w:t>从字面上大家就能够联想到和气候环境相关的，但是不太好的一些事件。</w:t>
      </w:r>
    </w:p>
    <w:p>
      <w:pPr>
        <w:numPr>
          <w:ilvl w:val="0"/>
          <w:numId w:val="0"/>
        </w:numPr>
        <w:ind w:firstLine="400" w:firstLineChars="200"/>
        <w:jc w:val="both"/>
        <w:rPr>
          <w:rFonts w:hint="eastAsia"/>
          <w:sz w:val="20"/>
          <w:szCs w:val="22"/>
          <w:lang w:val="en-US" w:eastAsia="zh-CN"/>
        </w:rPr>
      </w:pPr>
      <w:r>
        <w:rPr>
          <w:rFonts w:hint="eastAsia"/>
          <w:sz w:val="20"/>
          <w:szCs w:val="22"/>
          <w:lang w:val="en-US" w:eastAsia="zh-CN"/>
        </w:rPr>
        <w:t>绿天鹅指气候领域可能出现的极具破坏力的现象，它可能给社会生活和经济增长造成巨大的财产损失，进而会对金融市场构成系统性威胁，造成颠覆性影响。</w:t>
      </w:r>
    </w:p>
    <w:p>
      <w:pPr>
        <w:numPr>
          <w:ilvl w:val="0"/>
          <w:numId w:val="0"/>
        </w:numPr>
        <w:ind w:firstLine="400" w:firstLineChars="200"/>
        <w:jc w:val="both"/>
        <w:rPr>
          <w:rFonts w:hint="default"/>
          <w:lang w:val="en-US" w:eastAsia="zh-CN"/>
        </w:rPr>
      </w:pPr>
      <w:r>
        <w:rPr>
          <w:rFonts w:hint="eastAsia"/>
          <w:sz w:val="20"/>
          <w:szCs w:val="22"/>
          <w:lang w:val="en-US" w:eastAsia="zh-CN"/>
        </w:rPr>
        <w:t>某种意义上来说，“绿天鹅”可认为是气候领域的“黑天鹅”，气候风险虽然存在不确定性，但长期来看，气候风险所造成的影响一定是负面的。</w:t>
      </w:r>
    </w:p>
    <w:p>
      <w:pPr>
        <w:rPr>
          <w:rFonts w:hint="eastAsia"/>
          <w:lang w:val="en-US" w:eastAsia="zh-CN"/>
        </w:rPr>
      </w:pPr>
    </w:p>
    <w:p>
      <w:pPr>
        <w:jc w:val="center"/>
        <w:rPr>
          <w:rFonts w:hint="eastAsia"/>
          <w:b/>
          <w:bCs/>
          <w:sz w:val="24"/>
          <w:szCs w:val="24"/>
          <w:lang w:val="en-US" w:eastAsia="zh-CN"/>
        </w:rPr>
      </w:pPr>
      <w:r>
        <w:rPr>
          <w:rFonts w:hint="eastAsia"/>
          <w:b/>
          <w:bCs/>
          <w:sz w:val="24"/>
          <w:szCs w:val="24"/>
          <w:lang w:val="en-US" w:eastAsia="zh-CN"/>
        </w:rPr>
        <w:t>PART TWO</w:t>
      </w:r>
    </w:p>
    <w:p>
      <w:pPr>
        <w:numPr>
          <w:ilvl w:val="0"/>
          <w:numId w:val="0"/>
        </w:numPr>
        <w:ind w:firstLine="600" w:firstLineChars="300"/>
        <w:jc w:val="both"/>
        <w:rPr>
          <w:rFonts w:hint="eastAsia"/>
          <w:sz w:val="20"/>
          <w:szCs w:val="22"/>
          <w:lang w:val="en-US" w:eastAsia="zh-CN"/>
        </w:rPr>
      </w:pPr>
      <w:r>
        <w:rPr>
          <w:rFonts w:hint="eastAsia"/>
          <w:sz w:val="20"/>
          <w:szCs w:val="22"/>
          <w:lang w:val="en-US" w:eastAsia="zh-CN"/>
        </w:rPr>
        <w:t>早在2015年12月，20国集团金融稳定委员会(FsB)设立了气候相关财务信息披露工作组(TCFD)。该组织将气候相关财务风险划分为物理风险和转型风险。物理风险包括各种与环境和气候相关的自然灾害和事件，是气候变化带来的实体影响，通常又分为急性风险和慢性风险。急性风险主要表现为极端天气事件，其特征具有突发性和危害的显现性，比如洪水、旱灾、森林火灾、飓风等；慢性风险是指气候的长期慢改变所带来的温度上升、降水量变化、海平面上升、大气污染、水污染、土壤污染等，其特征具有慢性和危害的隐蔽性。</w:t>
      </w:r>
    </w:p>
    <w:p>
      <w:pPr>
        <w:numPr>
          <w:ilvl w:val="0"/>
          <w:numId w:val="0"/>
        </w:numPr>
        <w:ind w:firstLine="400" w:firstLineChars="200"/>
        <w:jc w:val="both"/>
        <w:rPr>
          <w:rFonts w:hint="default"/>
          <w:lang w:val="en-US" w:eastAsia="zh-CN"/>
        </w:rPr>
      </w:pPr>
      <w:r>
        <w:rPr>
          <w:rFonts w:hint="eastAsia"/>
          <w:sz w:val="20"/>
          <w:szCs w:val="22"/>
          <w:lang w:val="en-US" w:eastAsia="zh-CN"/>
        </w:rPr>
        <w:t>气候变化的转型风险是指社会在向低碳经济转型过程对金融市场以及宏观经济带来的风险，包括政策、法律风险、技术风险、市场风险和商誉风险等。</w:t>
      </w:r>
      <w:r>
        <w:rPr>
          <w:rFonts w:hint="default"/>
          <w:lang w:val="en-US" w:eastAsia="zh-CN"/>
        </w:rPr>
        <w:t>物理风险与转型风险往往相互影响，在现实经济生活中很难区分</w:t>
      </w:r>
      <w:r>
        <w:rPr>
          <w:rFonts w:hint="eastAsia"/>
          <w:lang w:val="en-US" w:eastAsia="zh-CN"/>
        </w:rPr>
        <w:t>。</w:t>
      </w:r>
    </w:p>
    <w:p>
      <w:pPr>
        <w:numPr>
          <w:ilvl w:val="0"/>
          <w:numId w:val="0"/>
        </w:numPr>
        <w:ind w:firstLine="420" w:firstLineChars="200"/>
        <w:jc w:val="both"/>
        <w:rPr>
          <w:rFonts w:hint="default"/>
          <w:lang w:val="en-US" w:eastAsia="zh-CN"/>
        </w:rPr>
      </w:pPr>
      <w:r>
        <w:rPr>
          <w:rFonts w:hint="eastAsia"/>
          <w:lang w:val="en-US" w:eastAsia="zh-CN"/>
        </w:rPr>
        <w:t>那么这两种风险是如何影响到金融稳定的呢？</w:t>
      </w:r>
    </w:p>
    <w:p>
      <w:pPr>
        <w:numPr>
          <w:ilvl w:val="0"/>
          <w:numId w:val="0"/>
        </w:numPr>
        <w:ind w:firstLine="402" w:firstLineChars="200"/>
        <w:jc w:val="both"/>
        <w:rPr>
          <w:rFonts w:hint="eastAsia"/>
          <w:sz w:val="20"/>
          <w:szCs w:val="22"/>
          <w:lang w:val="en-US" w:eastAsia="zh-CN"/>
        </w:rPr>
      </w:pPr>
      <w:r>
        <w:rPr>
          <w:rFonts w:hint="eastAsia"/>
          <w:b/>
          <w:bCs/>
          <w:sz w:val="20"/>
          <w:szCs w:val="22"/>
          <w:lang w:val="en-US" w:eastAsia="zh-CN"/>
        </w:rPr>
        <w:t>物理风险</w:t>
      </w:r>
      <w:r>
        <w:rPr>
          <w:rFonts w:hint="eastAsia"/>
          <w:sz w:val="20"/>
          <w:szCs w:val="22"/>
          <w:lang w:val="en-US" w:eastAsia="zh-CN"/>
        </w:rPr>
        <w:t>会通过保险、银行、资本市场和中央银行四条途径影响到金融行业。对于保险业而言，自然灾害会导致气候物理风险敞口持续增加，赔付率不断提高进而威胁到保险公司生存；对于银行，气候风险会导致抵押品减值，而受到影响的企业和个人偿债能力也会有所下降，从而给银行带来损失；对于资本市场，遭受损失的股票、债券和大宗商品都会面临下跌的风险；对于中央银行而言，货币政策的有效实施变得更加困难。</w:t>
      </w:r>
    </w:p>
    <w:p>
      <w:pPr>
        <w:numPr>
          <w:ilvl w:val="0"/>
          <w:numId w:val="0"/>
        </w:numPr>
        <w:ind w:firstLine="400" w:firstLineChars="200"/>
        <w:jc w:val="both"/>
        <w:rPr>
          <w:rFonts w:hint="eastAsia"/>
          <w:sz w:val="20"/>
          <w:szCs w:val="22"/>
          <w:lang w:val="en-US" w:eastAsia="zh-CN"/>
        </w:rPr>
      </w:pPr>
      <w:r>
        <w:rPr>
          <w:rFonts w:hint="eastAsia"/>
          <w:sz w:val="20"/>
          <w:szCs w:val="22"/>
          <w:lang w:val="en-US" w:eastAsia="zh-CN"/>
        </w:rPr>
        <w:t>下面我们来看几个案例，1992年的“安德鲁”飓风风的保险损失达到了当时创纪录的210亿美元。直接导致了十多家保险公司破产和美国整体财产保险业偿付能力的下降。这里就涉及到我们在保险学上所学到过的巨灾保险，从这里开始美国陆续建立了一些较为完备的巨灾保险体系。卡特里娜和哈维也都给保险业带来了巨大损失。</w:t>
      </w:r>
    </w:p>
    <w:p>
      <w:pPr>
        <w:numPr>
          <w:ilvl w:val="0"/>
          <w:numId w:val="0"/>
        </w:numPr>
        <w:ind w:firstLine="400" w:firstLineChars="200"/>
        <w:jc w:val="both"/>
        <w:rPr>
          <w:rFonts w:hint="eastAsia"/>
          <w:sz w:val="20"/>
          <w:szCs w:val="22"/>
          <w:lang w:val="en-US" w:eastAsia="zh-CN"/>
        </w:rPr>
      </w:pPr>
      <w:r>
        <w:rPr>
          <w:rFonts w:hint="eastAsia"/>
          <w:sz w:val="20"/>
          <w:szCs w:val="22"/>
          <w:lang w:val="en-US" w:eastAsia="zh-CN"/>
        </w:rPr>
        <w:t>2017年和2018年的山火引发了抵押贷款危机，给银行业带来了巨大风险。同样地，山火和飓风等自然灾害也会引发资本市场的慌乱，造成股价下跌等情况。</w:t>
      </w:r>
    </w:p>
    <w:p>
      <w:pPr>
        <w:numPr>
          <w:ilvl w:val="0"/>
          <w:numId w:val="0"/>
        </w:numPr>
        <w:ind w:firstLine="400" w:firstLineChars="200"/>
        <w:jc w:val="both"/>
        <w:rPr>
          <w:rFonts w:hint="default"/>
          <w:lang w:val="en-US" w:eastAsia="zh-CN"/>
        </w:rPr>
      </w:pPr>
      <w:r>
        <w:rPr>
          <w:rFonts w:hint="eastAsia"/>
          <w:sz w:val="20"/>
          <w:szCs w:val="22"/>
          <w:lang w:val="en-US" w:eastAsia="zh-CN"/>
        </w:rPr>
        <w:t>这个图是物理风险对于金融行业和宏观经济影响的传导图示。</w:t>
      </w:r>
      <w:r>
        <w:rPr>
          <w:rFonts w:hint="default"/>
          <w:lang w:val="en-US" w:eastAsia="zh-CN"/>
        </w:rPr>
        <w:t>值得注意的是，我国保险业的发展与发达经济体保险业的发展有一定区别。在发达经济体，保险业较为成熟，大量项目已进行了投保，一旦气候变化导致极端情况发生，保险公司理赔会面临巨大损失。但就中国而言，保险市场仍处于发展、深化过程中，投保项目有限，面对气候风险时，保险公司理赔规模较发达经济体而言更小，直接冲击可控。但从整个金融体系和经济社会看，间接损失可能更大。究其原因：一是由于保险未能充分发挥作用，银行需要投放更多信贷资源应对气候变化造成的损失，气候风险可能更多由银行等非保险金融机构承担，加剧风险向银行业集中。二是灾后的财政救助支出最终有可能形成显性或隐性的各级政府债务，加剧地方债务（尤其是地方政府融资平台）风险，最终有可能转化为金融风险。三是气候风险保障缺口大，气候风险将给受灾地区的经济社会带来更大损失，严重弱化中短期抗风险能力。</w:t>
      </w:r>
    </w:p>
    <w:p>
      <w:pPr>
        <w:numPr>
          <w:ilvl w:val="0"/>
          <w:numId w:val="0"/>
        </w:numPr>
        <w:ind w:firstLine="422" w:firstLineChars="200"/>
        <w:jc w:val="both"/>
        <w:rPr>
          <w:rFonts w:hint="default"/>
          <w:lang w:val="en-US" w:eastAsia="zh-CN"/>
        </w:rPr>
      </w:pPr>
      <w:r>
        <w:rPr>
          <w:rFonts w:hint="eastAsia"/>
          <w:b/>
          <w:bCs/>
          <w:lang w:val="en-US" w:eastAsia="zh-CN"/>
        </w:rPr>
        <w:t>转型风险</w:t>
      </w:r>
      <w:r>
        <w:rPr>
          <w:rFonts w:hint="eastAsia"/>
          <w:lang w:val="en-US" w:eastAsia="zh-CN"/>
        </w:rPr>
        <w:t>也会影响金融行业的稳定。从政策和法律方面来看，某些企业会因为受到法律和政策约束，受到罚款甚至停产，严重影响企业生产经营；从技术方面看，清洁能源和技术会冲击传统高碳高耗能高污染行业；从市场方面来看，为了应对人们的生活消费观念转变，金融机构需要开发绿色金融产品和服务。转型风险对金融行业的影响核心在于搁浅资产，搁浅资产就是指无法继续创造收益的资产。</w:t>
      </w:r>
      <w:r>
        <w:rPr>
          <w:rFonts w:hint="default"/>
          <w:lang w:val="en-US" w:eastAsia="zh-CN"/>
        </w:rPr>
        <w:t>“搁浅资产”导致信用风险增加，商业银行会收缩信贷投放，由此拉低投资水平。而融资受限、政策收紧又将引发行业价值重估，市值缩水、信用评级下降将直接冲击持有相关股权或债权的金融机构。</w:t>
      </w:r>
    </w:p>
    <w:p>
      <w:pPr>
        <w:numPr>
          <w:ilvl w:val="0"/>
          <w:numId w:val="0"/>
        </w:numPr>
        <w:ind w:firstLine="420" w:firstLineChars="200"/>
        <w:jc w:val="both"/>
        <w:rPr>
          <w:rFonts w:hint="default"/>
          <w:lang w:val="en-US" w:eastAsia="zh-CN"/>
        </w:rPr>
      </w:pPr>
      <w:r>
        <w:rPr>
          <w:rFonts w:hint="eastAsia"/>
          <w:lang w:val="en-US" w:eastAsia="zh-CN"/>
        </w:rPr>
        <w:t>该表是对气候风险影响金融稳定的传导路径的总结，从表中我们可以看出，不论是宏观还是微观都在面临着气候变化带来的巨大挑战，引发信用、市场、承销、经营和流动性风险，因此气候相关金融风险属于金融行业系统性风险，应当纳入宏观审慎监管体系进行监管。</w:t>
      </w:r>
    </w:p>
    <w:p>
      <w:pPr>
        <w:numPr>
          <w:ilvl w:val="0"/>
          <w:numId w:val="0"/>
        </w:numPr>
        <w:tabs>
          <w:tab w:val="left" w:pos="409"/>
        </w:tabs>
        <w:ind w:firstLine="420" w:firstLineChars="200"/>
        <w:jc w:val="both"/>
        <w:rPr>
          <w:rFonts w:hint="default"/>
          <w:lang w:val="en-US" w:eastAsia="zh-CN"/>
        </w:rPr>
      </w:pPr>
    </w:p>
    <w:p>
      <w:pPr>
        <w:jc w:val="center"/>
        <w:rPr>
          <w:rFonts w:hint="default"/>
          <w:b/>
          <w:bCs/>
          <w:sz w:val="24"/>
          <w:szCs w:val="24"/>
          <w:lang w:val="en-US" w:eastAsia="zh-CN"/>
        </w:rPr>
      </w:pPr>
      <w:r>
        <w:rPr>
          <w:rFonts w:hint="eastAsia"/>
          <w:b/>
          <w:bCs/>
          <w:sz w:val="24"/>
          <w:szCs w:val="24"/>
          <w:lang w:val="en-US" w:eastAsia="zh-CN"/>
        </w:rPr>
        <w:t>PART THREE</w:t>
      </w:r>
    </w:p>
    <w:p>
      <w:pPr>
        <w:numPr>
          <w:ilvl w:val="0"/>
          <w:numId w:val="0"/>
        </w:numPr>
        <w:tabs>
          <w:tab w:val="left" w:pos="409"/>
        </w:tabs>
        <w:ind w:firstLine="420" w:firstLineChars="200"/>
        <w:jc w:val="both"/>
        <w:rPr>
          <w:rFonts w:hint="eastAsia"/>
          <w:lang w:val="en-US" w:eastAsia="zh-CN"/>
        </w:rPr>
      </w:pPr>
      <w:r>
        <w:rPr>
          <w:rFonts w:hint="eastAsia"/>
          <w:lang w:val="en-US" w:eastAsia="zh-CN"/>
        </w:rPr>
        <w:t>针对气候相关金融风险的监管，我们将从国际经验和中国实践两方面给大家阐述。</w:t>
      </w:r>
    </w:p>
    <w:p>
      <w:pPr>
        <w:numPr>
          <w:ilvl w:val="0"/>
          <w:numId w:val="0"/>
        </w:numPr>
        <w:tabs>
          <w:tab w:val="left" w:pos="409"/>
        </w:tabs>
        <w:ind w:firstLine="420" w:firstLineChars="200"/>
        <w:jc w:val="both"/>
        <w:rPr>
          <w:rFonts w:hint="eastAsia"/>
          <w:lang w:val="en-US" w:eastAsia="zh-CN"/>
        </w:rPr>
      </w:pPr>
      <w:r>
        <w:rPr>
          <w:rFonts w:hint="eastAsia"/>
          <w:lang w:val="en-US" w:eastAsia="zh-CN"/>
        </w:rPr>
        <w:t>首先应对气候相关金融风险应该分那几步，FSB给出了《气候相关风险路线图》</w:t>
      </w:r>
    </w:p>
    <w:p>
      <w:pPr>
        <w:numPr>
          <w:ilvl w:val="0"/>
          <w:numId w:val="0"/>
        </w:numPr>
        <w:tabs>
          <w:tab w:val="left" w:pos="409"/>
        </w:tabs>
        <w:ind w:firstLine="420" w:firstLineChars="200"/>
        <w:jc w:val="both"/>
        <w:rPr>
          <w:rFonts w:hint="default"/>
          <w:lang w:val="en-US" w:eastAsia="zh-CN"/>
        </w:rPr>
      </w:pPr>
      <w:r>
        <w:rPr>
          <w:rFonts w:hint="eastAsia"/>
          <w:lang w:val="en-US" w:eastAsia="zh-CN"/>
        </w:rPr>
        <w:t>第一步就是要有全球的、持续性的、可对比的、对决策有用的气候相关信息披露</w:t>
      </w:r>
    </w:p>
    <w:p>
      <w:pPr>
        <w:numPr>
          <w:ilvl w:val="0"/>
          <w:numId w:val="0"/>
        </w:numPr>
        <w:ind w:firstLine="400" w:firstLineChars="200"/>
        <w:jc w:val="both"/>
        <w:rPr>
          <w:rFonts w:hint="eastAsia"/>
          <w:sz w:val="20"/>
          <w:szCs w:val="22"/>
          <w:lang w:val="en-US" w:eastAsia="zh-CN"/>
        </w:rPr>
      </w:pPr>
      <w:r>
        <w:rPr>
          <w:rFonts w:hint="eastAsia"/>
          <w:sz w:val="20"/>
          <w:szCs w:val="22"/>
          <w:lang w:val="en-US" w:eastAsia="zh-CN"/>
        </w:rPr>
        <w:t>第二步就是收集充足的数据，弥补数据缺口，以便能够进行风险评估。</w:t>
      </w:r>
    </w:p>
    <w:p>
      <w:pPr>
        <w:numPr>
          <w:ilvl w:val="0"/>
          <w:numId w:val="0"/>
        </w:numPr>
        <w:ind w:firstLine="400" w:firstLineChars="200"/>
        <w:jc w:val="both"/>
        <w:rPr>
          <w:rFonts w:hint="eastAsia"/>
          <w:sz w:val="20"/>
          <w:szCs w:val="22"/>
          <w:lang w:val="en-US" w:eastAsia="zh-CN"/>
        </w:rPr>
      </w:pPr>
      <w:r>
        <w:rPr>
          <w:rFonts w:hint="eastAsia"/>
          <w:sz w:val="20"/>
          <w:szCs w:val="22"/>
          <w:lang w:val="en-US" w:eastAsia="zh-CN"/>
        </w:rPr>
        <w:t>第三步就是脆弱性分析。</w:t>
      </w:r>
    </w:p>
    <w:p>
      <w:pPr>
        <w:numPr>
          <w:ilvl w:val="0"/>
          <w:numId w:val="0"/>
        </w:numPr>
        <w:ind w:firstLine="400" w:firstLineChars="200"/>
        <w:jc w:val="both"/>
        <w:rPr>
          <w:rFonts w:hint="eastAsia"/>
          <w:sz w:val="20"/>
          <w:szCs w:val="22"/>
          <w:lang w:val="en-US" w:eastAsia="zh-CN"/>
        </w:rPr>
      </w:pPr>
      <w:r>
        <w:rPr>
          <w:rFonts w:hint="eastAsia"/>
          <w:sz w:val="20"/>
          <w:szCs w:val="22"/>
          <w:lang w:val="en-US" w:eastAsia="zh-CN"/>
        </w:rPr>
        <w:t>第四步就是监管实践。</w:t>
      </w:r>
    </w:p>
    <w:p>
      <w:pPr>
        <w:numPr>
          <w:ilvl w:val="0"/>
          <w:numId w:val="0"/>
        </w:numPr>
        <w:ind w:firstLine="400" w:firstLineChars="200"/>
        <w:jc w:val="both"/>
        <w:rPr>
          <w:rFonts w:hint="eastAsia"/>
          <w:sz w:val="20"/>
          <w:szCs w:val="22"/>
          <w:lang w:val="en-US" w:eastAsia="zh-CN"/>
        </w:rPr>
      </w:pPr>
      <w:r>
        <w:rPr>
          <w:rFonts w:hint="eastAsia"/>
          <w:sz w:val="20"/>
          <w:szCs w:val="22"/>
          <w:lang w:val="en-US" w:eastAsia="zh-CN"/>
        </w:rPr>
        <w:t>我们将对每一个步骤具体展开。</w:t>
      </w:r>
    </w:p>
    <w:p>
      <w:pPr>
        <w:numPr>
          <w:ilvl w:val="0"/>
          <w:numId w:val="0"/>
        </w:numPr>
        <w:ind w:firstLine="400" w:firstLineChars="200"/>
        <w:jc w:val="both"/>
        <w:rPr>
          <w:rFonts w:hint="eastAsia"/>
          <w:sz w:val="20"/>
          <w:szCs w:val="22"/>
          <w:lang w:val="en-US" w:eastAsia="zh-CN"/>
        </w:rPr>
      </w:pPr>
      <w:r>
        <w:rPr>
          <w:rFonts w:hint="eastAsia"/>
          <w:sz w:val="20"/>
          <w:szCs w:val="22"/>
          <w:lang w:val="en-US" w:eastAsia="zh-CN"/>
        </w:rPr>
        <w:t>首先是完善气候信息披露要求，要建立统一标准。一要有国际公认的信息披露框架，二要强制企业披露、三是建立信息披露标准。这样才能够获取风险评估所需要的关键性指标。</w:t>
      </w:r>
    </w:p>
    <w:p>
      <w:pPr>
        <w:numPr>
          <w:ilvl w:val="0"/>
          <w:numId w:val="0"/>
        </w:numPr>
        <w:ind w:firstLine="400" w:firstLineChars="200"/>
        <w:jc w:val="both"/>
        <w:rPr>
          <w:rFonts w:hint="eastAsia"/>
          <w:lang w:val="en-US" w:eastAsia="zh-CN"/>
        </w:rPr>
      </w:pPr>
      <w:r>
        <w:rPr>
          <w:rFonts w:hint="eastAsia"/>
          <w:sz w:val="20"/>
          <w:szCs w:val="22"/>
          <w:lang w:val="en-US" w:eastAsia="zh-CN"/>
        </w:rPr>
        <w:t>法国是第一个对金融机构提出ESG信息披露要求的主要经济体；英国在2020年发布了金融机构气候风险信息披露指引；FSB是全球金融稳定理事会，下设有气候相关财务信息披露工作做TCFD，提出一套明确的气候信息披露建议，获得2600多家机构合组织的支持；IFRS国际财务报告准则基金会</w:t>
      </w:r>
      <w:r>
        <w:rPr>
          <w:rFonts w:hint="eastAsia"/>
          <w:lang w:val="en-US" w:eastAsia="zh-CN"/>
        </w:rPr>
        <w:t>计划推出国际通行的气候相关监管报告标准，届时国际证监会组织（IOSCO）、各金融国际组织和行业标准制定机构都有可能采纳这一标准。在我国，人民银行发布了《金融机构环境信息披露指南》，从环境风险的识别、评估、管理、控制流程等方面推动金融机构加强风险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lang w:val="en-US" w:eastAsia="zh-CN"/>
        </w:rPr>
      </w:pPr>
      <w:r>
        <w:rPr>
          <w:rFonts w:hint="eastAsia"/>
          <w:lang w:val="en-US" w:eastAsia="zh-CN"/>
        </w:rPr>
        <w:t>然后是需要弥补气候风险数据缺口。中央银行与监管机构绿色金融网络（NGFS）、国际货币基金组织（IMF）、FSB正着手构建反映气候变化和经济绿色低碳转型对金融体系影响的前瞻性指标体系</w:t>
      </w:r>
      <w:r>
        <w:rPr>
          <w:rFonts w:hint="eastAsia"/>
          <w:lang w:val="en-US" w:eastAsia="zh-CN"/>
        </w:rPr>
        <w:t>。NGFS下设的弥补数据缺口工作组已经全面梳理了气候相关数据的需求、类型和应用场景</w:t>
      </w:r>
      <w:r>
        <w:rPr>
          <w:rFonts w:hint="eastAsia"/>
          <w:lang w:val="en-US" w:eastAsia="zh-CN"/>
        </w:rPr>
        <w:t>。此外，NGFS还提出了解决数据问题的三大基础，即全球一致的信息披露标准、全球接受的可持续金融分类目录、良好的气候风险计量标准和方法。在我国，人民银行支持具备条件的地区打造碳账户，为金融机构开展碳核算、更好支持绿色低碳发展奠定数据基础。例如，浙江省衢州市通过安装采集终端实时采集企业碳排放相关数据，构建工业、农业和个人三大类碳账户；广州市、重庆市、新疆维吾尔族自治区昌吉州和克拉玛依市、黑龙江省齐齐哈尔市等地也分别探索打造了各具特色的碳账户。</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r>
        <w:rPr>
          <w:rFonts w:hint="eastAsia"/>
          <w:lang w:val="en-US" w:eastAsia="zh-CN"/>
        </w:rPr>
        <w:t>其次是要开展以气候风险压力测试为抓手的气候相关金融风险量化评估。因为气候风险具有地域性、长期性、非线性、全局性、结构性等特征，所以，传统的风险监测分析方法难以适用，因此具有前瞻性的压力测试在气候风险管理中尤为重要。目前，国际主要经济体的金融管理部门普遍通过压力测试对气候相关金融风险进行评估。荷兰央行是首个开展气候压力测试的中央银行，英国、欧盟、美国、巴西等主要经济体都在探索开展气候风险压力测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r>
        <w:rPr>
          <w:rFonts w:hint="default"/>
          <w:lang w:val="en-US" w:eastAsia="zh-CN"/>
        </w:rPr>
        <w:t>从测试对象看，参试金融机构以银行为主，个别经济体还覆盖保险机构和养老基金。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r>
        <w:rPr>
          <w:rFonts w:hint="default"/>
          <w:lang w:val="en-US" w:eastAsia="zh-CN"/>
        </w:rPr>
        <w:t>测试的目标行业一般为高碳行业或全部行业。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r>
        <w:rPr>
          <w:rFonts w:hint="default"/>
          <w:lang w:val="en-US" w:eastAsia="zh-CN"/>
        </w:rPr>
        <w:t>从测试风险类型看，绝大多数经济体着重分析转型风险对金融机构信用风险的影响，部分经济体还分析转型风险对市场风险的影响，或物理风险对承保风险的影响。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r>
        <w:rPr>
          <w:rFonts w:hint="default"/>
          <w:lang w:val="en-US" w:eastAsia="zh-CN"/>
        </w:rPr>
        <w:t>从测试时间期限看，多数经济体评估的时间期限为30年，以反映气候风险的长期性。部分经济体为保证数据预测的可靠性，测试期限较短。</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r>
        <w:rPr>
          <w:rFonts w:hint="default"/>
          <w:lang w:val="en-US" w:eastAsia="zh-CN"/>
        </w:rPr>
        <w:t>从资产负债表假设看，出于数据的一致性与可靠性考虑，多数国家采用静态资产负债表假设。</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r>
        <w:rPr>
          <w:rFonts w:hint="default"/>
          <w:lang w:val="en-US" w:eastAsia="zh-CN"/>
        </w:rPr>
        <w:t>从测试方法看，多数经济体采用宏观情景分析法，也有部分经济体采用敏感性分析法。其中，宏观情景分析法通过假定应对气候变化的政策以及相应的气候变化路径，分析金融体系可能遭受的损失。敏感性分析法研究碳价、碳边境调节税等单个转型风险驱动因素变化对金融体系或某一金融行业、机构产生的直接影响。</w:t>
      </w:r>
    </w:p>
    <w:p>
      <w:pPr>
        <w:numPr>
          <w:ilvl w:val="0"/>
          <w:numId w:val="0"/>
        </w:numPr>
        <w:ind w:firstLine="420" w:firstLineChars="200"/>
        <w:jc w:val="both"/>
        <w:rPr>
          <w:rFonts w:hint="default"/>
          <w:lang w:val="en-US" w:eastAsia="zh-CN"/>
        </w:rPr>
      </w:pPr>
      <w:r>
        <w:rPr>
          <w:rFonts w:hint="default"/>
          <w:lang w:val="en-US" w:eastAsia="zh-CN"/>
        </w:rPr>
        <w:t>中国人民银行已完成第一阶段气候风险压力测试。2021年，人民银行组织全国23家主要银行开展第一阶段气候风险压力测试，针对火电、钢铁、水泥三个高碳行业，分析在引入碳排放付费机制的情况下，从现在到2030年相关企业因成本上升导致贷款违约概率上升，进而影响银行资本充足水平的情况。为保证审慎性，测试还假设行业无技术进步、单一企业对上下游均不具备议价能力、资不抵债企业无还款能力。在风险传导具体路径方面，人民银行按照“1套机器学习算法、21个行业模型”首次建立非金融企业违约概率的基础模型，参试银行采用内部评级模型，逐户、逐年测算企业违约变化。</w:t>
      </w:r>
      <w:r>
        <w:rPr>
          <w:rFonts w:hint="default"/>
          <w:lang w:val="en-US" w:eastAsia="zh-CN"/>
        </w:rPr>
        <w:t>测试结果表明，如果火电、钢铁和水泥行业企业不进行低碳转型，在压力情景下，企业的还款能力将出现不同程度的下降。由于23家参试全国性银行火电、钢铁和水泥行业贷款占其全部贷款比重不高，因此其整体资本充足率在三种压力情景下均能满足监管要求。</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b w:val="0"/>
          <w:bCs w:val="0"/>
          <w:lang w:val="en-US" w:eastAsia="zh-CN"/>
        </w:rPr>
        <w:t>下一阶段，人民银行将继续完善气候风险压力测试方法。</w:t>
      </w:r>
      <w:r>
        <w:rPr>
          <w:rFonts w:hint="default"/>
          <w:lang w:val="en-US" w:eastAsia="zh-CN"/>
        </w:rPr>
        <w:t>一是以更加贴合我国实际的方式改进压力情景和传导路径，提高测试结果的应用价值和指导意义。二是进一步拓宽测试覆盖行业范围，涵盖更多高碳行业，更加全面地分析我国金融体系气候风险敞口。三是探索开展气候风险宏观情景压力测试，更加系统地评估经济社会绿色低碳转型带来的结构性、交叉性影响</w:t>
      </w: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第四步就是监管实际操作。</w:t>
      </w:r>
      <w:r>
        <w:rPr>
          <w:rFonts w:hint="default"/>
          <w:lang w:val="en-US" w:eastAsia="zh-CN"/>
        </w:rPr>
        <w:t>从国际来看，</w:t>
      </w:r>
      <w:r>
        <w:rPr>
          <w:rFonts w:hint="eastAsia"/>
          <w:lang w:val="en-US" w:eastAsia="zh-CN"/>
        </w:rPr>
        <w:t>BCBS发布了《有效管理和监管气候相关风险的指导原则》研究将气候风险纳入巴塞尔监管的可行性；IAIS《关于保险业气候相关风险监管的应用文件》针对公司治理、内部控制、偿付能力风险管理、投资、信息披露等方面提出监管建议；欧洲中央银行在《气候环境风险指南》提出监管期望，并将其直接监管的重要金融机构纳入实施范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最后我们额外补充了一点也就是第五点------应对气候风险，是一项国际议题，应当加强国际审慎监管合作，提高应对效率。一是要建立常态化的交流合作机制、二是探索统一的国际监管制度框架、三是建立应对气候风险的国际基金。金融稳定理事会，央行与监管机构绿色金融网络NGFS都是应对气候风险国际合作的范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此外，在我国，应对气候变化是我国绿色金融支持的三大领域之一，因此针对气候相关金融风险的监管应当同我国的绿色金融政策协同，发挥绿色金融三大功能五大支柱的作用</w:t>
      </w:r>
      <w:bookmarkStart w:id="0" w:name="_GoBack"/>
      <w:bookmarkEnd w:id="0"/>
      <w:r>
        <w:rPr>
          <w:rFonts w:hint="eastAsia"/>
          <w:lang w:val="en-US" w:eastAsia="zh-CN"/>
        </w:rPr>
        <w:t>，共同降低气候变化带来的风险。</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numPr>
          <w:ilvl w:val="0"/>
          <w:numId w:val="0"/>
        </w:numPr>
        <w:ind w:firstLine="420" w:firstLineChars="200"/>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672D3"/>
    <w:rsid w:val="02A604E3"/>
    <w:rsid w:val="060E0879"/>
    <w:rsid w:val="07062217"/>
    <w:rsid w:val="072C5736"/>
    <w:rsid w:val="076D15CF"/>
    <w:rsid w:val="09AB4631"/>
    <w:rsid w:val="0CC71BF8"/>
    <w:rsid w:val="0DE46363"/>
    <w:rsid w:val="0DE77743"/>
    <w:rsid w:val="1B087F7E"/>
    <w:rsid w:val="222A213F"/>
    <w:rsid w:val="227F7F55"/>
    <w:rsid w:val="240C72D0"/>
    <w:rsid w:val="246672D3"/>
    <w:rsid w:val="28D67E33"/>
    <w:rsid w:val="2E514110"/>
    <w:rsid w:val="2F725125"/>
    <w:rsid w:val="340A0995"/>
    <w:rsid w:val="378E755D"/>
    <w:rsid w:val="37D96482"/>
    <w:rsid w:val="38B467AE"/>
    <w:rsid w:val="3BFC2946"/>
    <w:rsid w:val="3E4332EB"/>
    <w:rsid w:val="3F0208C8"/>
    <w:rsid w:val="40F260C6"/>
    <w:rsid w:val="4315434D"/>
    <w:rsid w:val="47B6609F"/>
    <w:rsid w:val="4C7255DF"/>
    <w:rsid w:val="596127C5"/>
    <w:rsid w:val="5B9A273D"/>
    <w:rsid w:val="64AD3DFE"/>
    <w:rsid w:val="6BC93D43"/>
    <w:rsid w:val="702D17C7"/>
    <w:rsid w:val="754D5AA2"/>
    <w:rsid w:val="7BD0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式"/>
    <w:qFormat/>
    <w:uiPriority w:val="0"/>
    <w:pPr>
      <w:tabs>
        <w:tab w:val="center" w:pos="1680"/>
      </w:tabs>
    </w:pPr>
    <w:rPr>
      <w:rFonts w:asciiTheme="minorAscii" w:hAnsiTheme="minorAscii" w:eastAsiaTheme="minorEastAsia" w:cstheme="minorBid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4056</Words>
  <Characters>4158</Characters>
  <Lines>0</Lines>
  <Paragraphs>0</Paragraphs>
  <TotalTime>13</TotalTime>
  <ScaleCrop>false</ScaleCrop>
  <LinksUpToDate>false</LinksUpToDate>
  <CharactersWithSpaces>4163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2022-03-20T07:21:00Z</dcterms:created>
  <dc:creator>前朝</dc:creator>
  <cp:lastModifiedBy>前朝</cp:lastModifiedBy>
  <dcterms:modified xsi:type="dcterms:W3CDTF">2022-03-21T15:23:21Z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A3C33B4AC5684147A2AE96DB1755F7A5</vt:lpwstr>
  </property>
</Properties>
</file>