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文献梳理---侧重于具体监管措施</w:t>
      </w:r>
      <w:bookmarkStart w:id="0" w:name="_GoBack"/>
      <w:bookmarkEnd w:id="0"/>
      <w:r>
        <w:rPr>
          <w:rFonts w:hint="eastAsia"/>
          <w:lang w:val="en-US" w:eastAsia="zh-CN"/>
        </w:rPr>
        <w:t>：</w:t>
      </w:r>
    </w:p>
    <w:p>
      <w:pPr>
        <w:keepNext w:val="0"/>
        <w:keepLines w:val="0"/>
        <w:pageBreakBefore w:val="0"/>
        <w:numPr>
          <w:ilvl w:val="0"/>
          <w:numId w:val="1"/>
        </w:numPr>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气候风险是什么目前金融服务业有什么问题</w:t>
      </w:r>
    </w:p>
    <w:p>
      <w:pPr>
        <w:keepNext w:val="0"/>
        <w:keepLines w:val="0"/>
        <w:pageBreakBefore w:val="0"/>
        <w:numPr>
          <w:ilvl w:val="0"/>
          <w:numId w:val="1"/>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金融监管局从宏微观审慎监管</w:t>
      </w:r>
    </w:p>
    <w:p>
      <w:pPr>
        <w:keepNext w:val="0"/>
        <w:keepLines w:val="0"/>
        <w:pageBreakBefore w:val="0"/>
        <w:numPr>
          <w:ilvl w:val="0"/>
          <w:numId w:val="1"/>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国际监管经验</w:t>
      </w:r>
    </w:p>
    <w:p>
      <w:pPr>
        <w:keepNext w:val="0"/>
        <w:keepLines w:val="0"/>
        <w:pageBreakBefore w:val="0"/>
        <w:numPr>
          <w:ilvl w:val="0"/>
          <w:numId w:val="1"/>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以气候压力测试为抓手提升气候风险管理能力</w:t>
      </w:r>
    </w:p>
    <w:p>
      <w:pPr>
        <w:keepNext w:val="0"/>
        <w:keepLines w:val="0"/>
        <w:pageBreakBefore w:val="0"/>
        <w:numPr>
          <w:ilvl w:val="0"/>
          <w:numId w:val="1"/>
        </w:numPr>
        <w:kinsoku/>
        <w:wordWrap/>
        <w:overflowPunct/>
        <w:topLinePunct w:val="0"/>
        <w:autoSpaceDE/>
        <w:autoSpaceDN/>
        <w:bidi w:val="0"/>
        <w:adjustRightInd/>
        <w:snapToGrid/>
        <w:ind w:firstLine="420" w:firstLineChars="200"/>
        <w:textAlignment w:val="auto"/>
        <w:rPr>
          <w:rFonts w:hint="default"/>
          <w:lang w:val="en-US" w:eastAsia="zh-CN"/>
        </w:rPr>
      </w:pPr>
      <w:r>
        <w:rPr>
          <w:rFonts w:hint="eastAsia"/>
          <w:lang w:val="en-US" w:eastAsia="zh-CN"/>
        </w:rPr>
        <w:t>我国银行业实践</w:t>
      </w:r>
    </w:p>
    <w:p>
      <w:pPr>
        <w:keepNext w:val="0"/>
        <w:keepLines w:val="0"/>
        <w:pageBreakBefore w:val="0"/>
        <w:kinsoku/>
        <w:wordWrap/>
        <w:overflowPunct/>
        <w:topLinePunct w:val="0"/>
        <w:autoSpaceDE/>
        <w:autoSpaceDN/>
        <w:bidi w:val="0"/>
        <w:adjustRightInd/>
        <w:snapToGrid/>
        <w:ind w:firstLine="420" w:firstLineChars="200"/>
        <w:textAlignment w:val="auto"/>
        <w:rPr>
          <w:rFonts w:hint="eastAsia"/>
          <w:lang w:val="en-US" w:eastAsia="zh-CN"/>
        </w:rPr>
      </w:pPr>
    </w:p>
    <w:p>
      <w:pPr>
        <w:keepNext w:val="0"/>
        <w:keepLines w:val="0"/>
        <w:pageBreakBefore w:val="0"/>
        <w:numPr>
          <w:ilvl w:val="0"/>
          <w:numId w:val="2"/>
        </w:numPr>
        <w:kinsoku/>
        <w:wordWrap/>
        <w:overflowPunct/>
        <w:topLinePunct w:val="0"/>
        <w:autoSpaceDE/>
        <w:autoSpaceDN/>
        <w:bidi w:val="0"/>
        <w:adjustRightInd/>
        <w:snapToGrid/>
        <w:ind w:firstLine="482" w:firstLineChars="200"/>
        <w:textAlignment w:val="auto"/>
        <w:rPr>
          <w:rFonts w:hint="default"/>
          <w:b/>
          <w:bCs/>
          <w:sz w:val="24"/>
          <w:szCs w:val="24"/>
          <w:lang w:val="en-US" w:eastAsia="zh-CN"/>
        </w:rPr>
      </w:pPr>
      <w:r>
        <w:rPr>
          <w:rFonts w:hint="eastAsia"/>
          <w:b/>
          <w:bCs/>
          <w:sz w:val="24"/>
          <w:szCs w:val="24"/>
          <w:lang w:val="en-US" w:eastAsia="zh-CN"/>
        </w:rPr>
        <w:t>气候风险风险是什么及其目前存在问题</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sz w:val="21"/>
          <w:szCs w:val="21"/>
        </w:rPr>
      </w:pPr>
      <w:r>
        <w:rPr>
          <w:rFonts w:ascii="宋体" w:hAnsi="宋体" w:eastAsia="宋体" w:cs="宋体"/>
          <w:color w:val="595959"/>
          <w:kern w:val="0"/>
          <w:sz w:val="21"/>
          <w:szCs w:val="21"/>
          <w:lang w:val="en-US" w:eastAsia="zh-CN" w:bidi="ar"/>
        </w:rPr>
        <w:t>TCFD建议组织根据气候变化相关风险独特特征识别与评估这些风险：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rPr>
        <w:t>☑ 具有地域特征，受业务范围影响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rPr>
        <w:t>☑ 影响持续性较强，时间范围广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rPr>
        <w:t>☑ 非线性动态变化，不确定性强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rPr>
        <w:t>☑ 变化幅度较大，差异性明显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sz w:val="21"/>
          <w:szCs w:val="21"/>
        </w:rPr>
      </w:pPr>
      <w:r>
        <w:rPr>
          <w:sz w:val="21"/>
          <w:szCs w:val="21"/>
        </w:rPr>
        <w:t>☑ 与社会经济或金融系统相关联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20" w:firstLineChars="200"/>
        <w:textAlignment w:val="auto"/>
        <w:rPr>
          <w:rFonts w:hint="eastAsia"/>
          <w:sz w:val="21"/>
          <w:szCs w:val="21"/>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物理风险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首先，根据评估方法的范围和深度， 对实体风险影响评估方法的分类框架进行详述。其次，根据现有分析方法的五大方法要素（情景、实体危害、影响评估、输出、分析颗粒度）方式提供了高级别映射。最后， 根据关键共性和未深入探索的领域从映射中归纳调查发现。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气候变化的实体影响可以表现为急性或慢性危害。急性危害包括高度本地化并产生   直接影响的极端天气事件，如热带和温带气旋、野火和洪水。相比之下，慢性危害则    指气候长期变化所产生的缓慢增长的影响，例如气温升高、海平面上升、冰川融化、 荒漠化或降水模式和水资源可用量的变化。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评估深度取决于分析方法对于对手方风险脆弱性的理解，包含三个组成部分，分别 为风险敞口、敏感性和适应能力。</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   对手方的实体风险敞口由其地理位置决定，因为地理位置决定了其受气候危害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影响的可能性。</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   对气候危害的敏感性由对手方依赖自然资源等最易受危害影响因素的程度决定。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   适应能力，即对手方通过改变供应商或客户群体或者改组资产的方式适应危害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并减轻其影响的能力。这与对手方的供应商或客户的适应能力相反，因为后两者 的适应能力是对手方敏感性的组成部分。</w:t>
      </w:r>
    </w:p>
    <w:p>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转型风险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default"/>
          <w:lang w:val="en-US" w:eastAsia="zh-CN"/>
        </w:rPr>
        <w:t>TCFD确定了以下 几类转型风险：政策风险、法律风险、技术风险、市场风险和声誉风险</w:t>
      </w:r>
      <w:r>
        <w:rPr>
          <w:rFonts w:hint="eastAsia"/>
          <w:lang w:val="en-US" w:eastAsia="zh-CN"/>
        </w:rPr>
        <w:t>；其中法律风险和声誉风险难以量化。</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首先，依据分析 方法的广度和深度介绍转型风险影响方法的分类框架；其次，根据重点处理方法要  素列举当前的分析方法；最后，归纳整理主要发现。</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金融服务行业通过分配资本和收取资本利息，在经济运行中发挥着至关重要的作用，而要快速完成向气候环境可持续经济模式过渡转型，必须寄望于金融服务业能够很好地胜任这一角色。</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b/>
          <w:bCs/>
          <w:lang w:val="en-US" w:eastAsia="zh-CN"/>
        </w:rPr>
      </w:pPr>
      <w:r>
        <w:rPr>
          <w:rFonts w:hint="default"/>
          <w:lang w:val="en-US" w:eastAsia="zh-CN"/>
        </w:rPr>
        <w:t xml:space="preserve">然而，当前 </w:t>
      </w:r>
      <w:r>
        <w:rPr>
          <w:rFonts w:hint="default"/>
          <w:b/>
          <w:bCs/>
          <w:lang w:val="en-US" w:eastAsia="zh-CN"/>
        </w:rPr>
        <w:t>金融服务行业的资本分配机制未能全效运作，主要有以下两个简单却又关键的原因。</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首先，气候风险尚未被作为考量因素纳入资本定价与配置决策中。</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其中部分原因是， 要做到这一点有实际困难。 无论是自然气候变化， 还是经济快速转型， 对其的影响评估都是一项复杂的工作， 难以使用基于历史数据构建的模型进行有效预测。 然而， 前瞻情景分析方面的技术业已取得长足进步。 我们将其应用于一种转型风险的建模， 研究征收碳排放税对电力、石油和天然气两大高碳排放行业的影响。我们估计在此预设情景下， 未偿债务的信贷损失约为 500 亿至 3,000 亿美元。 需要引起重视的是， 不同公司受影响程度的差异很大， 其中受影响最严重的公司的违约概率提高了两至三倍。 全行业损失总计可高达 1 万亿美元。 很少有金融服务机构深入细致地估算这些风险， 而将其进一步纳入贷款授信和资产组合管理决策的机构就更少了。 提高对气候相关风险的重视程度刻不容缓。</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其次，金融服务业严重低估了向绿色经济转型的收益潜力。</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我们预计， 为重度/中度污染企业提供批发银行服务可实现约 800 亿美元的收益， 当然也会有所失。 而在投资和融资领域， 当前从可持续金融业务中获取的收益约为 400 亿美元。 然而， 如果绿色经济在未来几年真的需要多达 6 万亿美元的资本投入， 那么金融服务业将迎来巨大的商机， 各项业务的收入将增加 500 亿至 1,500 亿美元。 如今， 金融服务机构普遍面临缺乏有效的业务增长点的难题， 而绿色经济无疑将成为整个行业最重大的增长契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both"/>
        <w:textAlignment w:val="auto"/>
        <w:rPr>
          <w:rFonts w:hint="default"/>
          <w:b/>
          <w:bCs/>
          <w:sz w:val="24"/>
          <w:szCs w:val="24"/>
          <w:lang w:val="en-US" w:eastAsia="zh-CN"/>
        </w:rPr>
      </w:pPr>
      <w:r>
        <w:rPr>
          <w:rFonts w:hint="eastAsia"/>
          <w:b/>
          <w:bCs/>
          <w:sz w:val="24"/>
          <w:szCs w:val="24"/>
          <w:lang w:val="en-US" w:eastAsia="zh-CN"/>
        </w:rPr>
        <w:t>二、金融监管当局从微观审慎框架和宏观审慎框架量方面入手进行监管</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微观审慎框架旨在保护单个金融机构的安全和稳健，防范气候金融风险。</w:t>
      </w:r>
      <w:r>
        <w:rPr>
          <w:rFonts w:hint="default"/>
          <w:lang w:val="en-US" w:eastAsia="zh-CN"/>
        </w:rPr>
        <w:t>由于这些风险通过传统的银行风险表现出来，在现有的监管框架内解决气候金融风险似乎是符合逻辑的。第一步自然是评估当前的规则是否能够充分捕捉气候金融风险。否则，监管当局将需要考虑采取补充行动，修改第一支柱工具（如调整风险权重、集中度限制）、第二支柱要求（如监管审查流程和资本附加）或第三支柱披露义务。事实上，作为银行的国际标准制定机构，巴塞尔委员会已经宣布了一项工作计划，以识别巴塞尔框架的三大支柱中潜在不足，并在必要时制定适当的措施来解决这些不足。</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气候金融风险的独特性质表明，目前的微观审慎框架并没有完全捕捉到这些风险。包括：</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第一，气候金融风险将在短期、中期和长期（即几十年）时间范围内成为现实。相比之下，现有的微观审慎机制，尤其是在设定资本要求方面，关注的是在相对较短的时间内（通常是一年）出现的风险。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第二，由于与气候相关的事件是不确定的，并且可能随着时间的推移而增长，它们的演变可能会涉及非线性和拐点。因此，基于历史损失经验的主要向后看的传统方法很可能无法捕捉到这些风险的前瞻性因素。</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宏观审慎框架将寻求解决气候相关风险的系统性影响。</w:t>
      </w:r>
      <w:r>
        <w:rPr>
          <w:rFonts w:hint="default"/>
          <w:lang w:val="en-US" w:eastAsia="zh-CN"/>
        </w:rPr>
        <w:t>根据当前宏观审慎框架背后的逻辑，运用宏观审慎政策应对气候金融风险的首要目标是提高金融体系的弹性，特别是如果宏观审慎监管当局认为，气候金融风险可能会引发微观审慎监管框架未能充分捕捉到的系统性风险。进一步目标是通过影响银行的信贷政策，直接遏制这些系统性风险。请注意，在传统的宏观审慎政策的情况下，这两个目标，原则上可以通过部署单一工具，如反周期资本缓冲来实现。例如，在信贷总量过度增长造成系统性风险的情况下，提高资本金要求既有助于提高抗风险能力，又有助于通过减缓信贷扩张来遏制系统性风险。</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第一个目标（即提高弹性）的重要性，取决于与气候相关的发展是否会引发微观审慎政策框架未能充分捕捉到的系统性风险。例如，如果失衡导致了系统性的转型风险，就会出现这种情况。然而，监管当局可以通过使用第二支柱框架来提高金融机构的弹性。通过压力测试，监管当局会考虑不利的宏观经济发展，这在理论上可能会嵌入与气候相关的发展，比如碳密集型行业衰败。因此，尽管气候宏观审慎框架可能有所帮助，但并不能明显看出，其对确保金融体系吸收气候相关事件产生的系统性冲击是至关重要的。</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为了实现第二个目标（即控制系统风险），宏观审慎当局可以为银行提供必要的激励措施，以减少它们受气候金融风险的影响。在追求这一目标的过程中，宏观审慎当局将部署工具，以引导银行的承销业务远离那些最容易受到物理和转型风险影响的公司和行业。</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2" w:firstLineChars="200"/>
        <w:jc w:val="both"/>
        <w:textAlignment w:val="auto"/>
        <w:rPr>
          <w:rFonts w:hint="eastAsia"/>
          <w:b/>
          <w:bCs/>
          <w:sz w:val="24"/>
          <w:szCs w:val="24"/>
          <w:lang w:val="en-US" w:eastAsia="zh-CN"/>
        </w:rPr>
      </w:pPr>
      <w:r>
        <w:rPr>
          <w:rFonts w:hint="eastAsia"/>
          <w:b/>
          <w:bCs/>
          <w:sz w:val="24"/>
          <w:szCs w:val="24"/>
          <w:lang w:val="en-US" w:eastAsia="zh-CN"/>
        </w:rPr>
        <w:t>三、国际社会将气候风险纳入金融风险管理框架所做出的尝试</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eastAsia"/>
          <w:lang w:val="en-US" w:eastAsia="zh-CN"/>
        </w:rPr>
        <w:t>1.信息披露</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r>
        <w:rPr>
          <w:rFonts w:hint="eastAsia"/>
          <w:lang w:val="en-US" w:eastAsia="zh-CN"/>
        </w:rPr>
        <w:t>FSB设立的气候相关财务信息披露工作组（TCFD）提出了一套明确的气候信息披露建议，目前已获得2600多家机构和组织的支持。国际财务报告准则基金会（IFRS）于2021年设立了国际可持续标准委员会（ISSB），计划推出国际通行的气候相关监管报告标准，届时国际证监会组织（IOSCO）、各金融国际组织和行业标准制定机构都有可能采纳这一标准。在我国，人民银行发布了《金融机构环境信息披露指南》，从环境风险的识别、评估、管理、控制流程等方面推动金融机构加强风险管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eastAsia"/>
          <w:lang w:val="en-US" w:eastAsia="zh-CN"/>
        </w:rPr>
        <w:t>2.气候风险数据</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r>
        <w:rPr>
          <w:rFonts w:hint="eastAsia"/>
          <w:lang w:val="en-US" w:eastAsia="zh-CN"/>
        </w:rPr>
        <w:t>中央银行与监管机构绿色金融网络（NGFS）、国际货币基金组织（IMF）、FSB正着手构建反映气候变化和经济绿色低碳转型对金融体系影响的前瞻性指标体系。NGFS下设的弥补数据缺口工作组已经全面梳理了气候相关数据的需求、类型和应用场景。此外，NGFS还提出了解决数据问题的三大基础，即全球一致的信息披露标准、全球接受的可持续金融分类目录、良好的气候风险计量标准和方法。在我国，人民银行支持具备条件的地区打造碳账户，为金融机构开展碳核算、更好支持绿色低碳发展奠定数据基础。例如，浙江省衢州市通过安装采集终端实时采集企业碳排放相关数据，构建工业、农业和个人三大类碳账户；广州市、重庆市、新疆维吾尔族自治区昌吉州和克拉玛依市、黑龙江省齐齐哈尔市等地也分别探索打造了各具特色的碳账户。</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both"/>
        <w:textAlignment w:val="auto"/>
        <w:rPr>
          <w:rFonts w:hint="default"/>
          <w:lang w:val="en-US" w:eastAsia="zh-CN"/>
        </w:rPr>
      </w:pPr>
      <w:r>
        <w:rPr>
          <w:rFonts w:hint="eastAsia"/>
          <w:lang w:val="en-US" w:eastAsia="zh-CN"/>
        </w:rPr>
        <w:t>脆弱性分析</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r>
        <w:rPr>
          <w:rFonts w:hint="eastAsia"/>
          <w:lang w:val="en-US" w:eastAsia="zh-CN"/>
        </w:rPr>
        <w:t>BCBS深入研究了气候风险的驱动因素和向金融体系传导的渠道，并总结了气候相关金融风险的计量方法。NGFS根据气候升温目标、政策转型力度等因素，将气候模型与宏观经济模型结合，开发了一套较为完善的气候情景，为各国开展气候情景分析和压力测试提供了重要基础。欧盟、日本、英国等主要经济体中央银行都在探索开展气候风险压力测试，许多国际大型银行也已经自行或在监管机构的组织下开展了测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eastAsia"/>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jc w:val="both"/>
        <w:textAlignment w:val="auto"/>
        <w:rPr>
          <w:rFonts w:hint="eastAsia"/>
          <w:lang w:val="en-US" w:eastAsia="zh-CN"/>
        </w:rPr>
      </w:pPr>
      <w:r>
        <w:rPr>
          <w:rFonts w:hint="eastAsia"/>
          <w:lang w:val="en-US" w:eastAsia="zh-CN"/>
        </w:rPr>
        <w:t>监管实践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BCBS已专门成立气候风险高级别工作组，研究将气候风险纳入巴塞尔监管框架的可行性和方式，并制定了《有效管理和监管气候相关风险的指导原则》，已公开征求意见。国际保险监督官协会（IAIS）发布了《关于保险业气候相关风险监管的应用文件》，针对公司治理、内部控制、偿付能力风险管理、投资、信息披露等方面提出监管建议。欧洲中央银行发布了《气候环境风险指南》，对金融机构商业模式和战略、公司治理和风险偏好、风险管理、信息披露提出监管期望，并将其直接监管的重要金融机构纳入实施范围。</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从国际来看，2021 年 10 月，美国金融稳定监督委员会发布《气候相关金融风险报告》，为将气候风险管理纳入金融监管体系提供了路线图；2022 年 1 月，英央行发布 2022 年在英国际银行的优先事项，宣布从 2022 年起将把气候相关金融风险纳入核心监管，监管机构对银行业气候风险的管理要求显著加强。</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both"/>
        <w:textAlignment w:val="auto"/>
        <w:rPr>
          <w:rFonts w:hint="eastAsia"/>
          <w:b w:val="0"/>
          <w:bCs w:val="0"/>
          <w:sz w:val="24"/>
          <w:szCs w:val="24"/>
          <w:lang w:val="en-US" w:eastAsia="zh-CN"/>
        </w:rPr>
      </w:pPr>
      <w:r>
        <w:rPr>
          <w:rFonts w:hint="eastAsia"/>
          <w:b w:val="0"/>
          <w:bCs w:val="0"/>
          <w:sz w:val="24"/>
          <w:szCs w:val="24"/>
          <w:lang w:val="en-US" w:eastAsia="zh-CN"/>
        </w:rPr>
        <w:t>四、以气候风险压力测试提升气候风险管理能力</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气候风险压力测试是气候风险管理的重要工具。</w:t>
      </w:r>
      <w:r>
        <w:rPr>
          <w:rFonts w:hint="default"/>
          <w:lang w:val="en-US" w:eastAsia="zh-CN"/>
        </w:rPr>
        <w:t>气候风险具有长期性、全局性、结构性等特征，一些传统的风险监测分析方法难以适用，因此具有前瞻性的压力测试在气候风险管理中尤为重要。目前，国际上主要经济体的金融管理部门普遍通过开展压力测试对气候相关金融风险进行量化评估。从测试对象看，参试金融机构以银行为主，个别经济体还覆盖保险机构和养老基金。测试的目标行业一般为高碳行业或全部行业。从测试风险类型看，绝大多数经济体着重分析转型风险对金融机构信用风险的影响，部分经济体还分析转型风险对市场风险的影响，或物理风险对承保风险的影响。从测试时间期限看，多数经济体评估的时间期限为30年，以反映气候风险的长期性。部分经济体为保证数据预测的可靠性，测试期限较短。从资产负债表假设看，出于数据的一致性与可靠性考虑，多数国家采用静态资产负债表假设。从测试方法看，多数经济体采用宏观情景分析法，也有部分经济体采用敏感性分析法。其中，宏观情景分析法通过假定应对气候变化的政策以及相应的气候变化路径，分析金融体系可能遭受的损失。敏感性分析法研究碳价、碳边境调节税等单个转型风险驱动因素变化对金融体系或某一金融行业、机构产生的直接影响。</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中国人民银行已完成第一阶段气候风险压力测试。</w:t>
      </w:r>
      <w:r>
        <w:rPr>
          <w:rFonts w:hint="default"/>
          <w:lang w:val="en-US" w:eastAsia="zh-CN"/>
        </w:rPr>
        <w:t>2021年，人民银行组织全国23家主要银行开展第一阶段气候风险压力测试，针对火电、钢铁、水泥三个高碳行业，分析在引入碳排放付费机制的情况下，从现在到2030年相关企业因成本上升导致贷款违约概率上升，进而影响银行资本充足水平的情况。为保证审慎性，测试还假设行业无技术进步、单一企业对上下游均不具备议价能力、资不抵债企业无还款能力。在风险传导具体路径方面，人民银行按照“1套机器学习算法、21个行业模型”首次建立非金融企业违约概率的基础模型，参试银行采用内部评级模型，逐户、逐年测算企业违约变化。测试结果表明，如果火电、钢铁和水泥行业企业不进行低碳转型，在压力情景下，企业的还款能力将出现不同程度的下降。由于23家参试全国性银行火电、钢铁和水泥行业贷款占其全部贷款比重不高，因此其整体资本充足率在三种压力情景下均能满足监管要求。</w:t>
      </w:r>
    </w:p>
    <w:p>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下一阶段，人民银行将继续完善气候风险压力测试方法。</w:t>
      </w:r>
      <w:r>
        <w:rPr>
          <w:rFonts w:hint="default"/>
          <w:lang w:val="en-US" w:eastAsia="zh-CN"/>
        </w:rPr>
        <w:t>一是以更加贴合我国实际的方式改进压力情景和传导路径，提高测试结果的应用价值和指导意义。二是进一步拓宽测试覆盖行业范围，涵盖更多高碳行业，更加全面地分析我国金融体系气候风险敞口。三是探索开展气候风险宏观情景压力测试，更加系统地评估经济社会绿色低碳转型带来的结构性、交叉性影响</w:t>
      </w:r>
      <w:r>
        <w:rPr>
          <w:rFonts w:hint="eastAsia"/>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numId w:val="0"/>
        </w:numPr>
        <w:kinsoku/>
        <w:wordWrap/>
        <w:overflowPunct/>
        <w:topLinePunct w:val="0"/>
        <w:autoSpaceDE/>
        <w:autoSpaceDN/>
        <w:bidi w:val="0"/>
        <w:adjustRightInd/>
        <w:snapToGrid/>
        <w:ind w:firstLine="482" w:firstLineChars="200"/>
        <w:jc w:val="both"/>
        <w:textAlignment w:val="auto"/>
        <w:rPr>
          <w:rFonts w:hint="eastAsia"/>
          <w:b/>
          <w:bCs/>
          <w:sz w:val="24"/>
          <w:szCs w:val="24"/>
          <w:lang w:val="en-US" w:eastAsia="zh-CN"/>
        </w:rPr>
      </w:pPr>
      <w:r>
        <w:rPr>
          <w:rFonts w:hint="eastAsia"/>
          <w:b/>
          <w:bCs/>
          <w:sz w:val="24"/>
          <w:szCs w:val="24"/>
          <w:lang w:val="en-US" w:eastAsia="zh-CN"/>
        </w:rPr>
        <w:t>五、中国银行业实践情况</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一是在战略偏好上确立绿色低碳的战略和政策。将绿色低碳纳入集团战略管理，围绕碳达峰碳中和目标，明确战略导向，明确碳偏好与落地政策，积极配置资源，统筹形成持续合力，为经济社会绿色低碳转型提供全方位金融服务。</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二是将气候风险纳入全面风险管理体系。修订了《全面风险管理规定》，将气候风险作为单独一节，明确了治理架构三道防线职责、偏好与限额、制度与流程，明确了气候风险识别、计量、监测、报告、控制的手段，包括建立气候风险压力测试和预警体系，完善数据和IT系统。目前工商银行董事会已经批准将气候风险纳入全面风险管理体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三是建立气候风险数据库，加快智能化系统建设。底层数据库包括行内、行外数据。中间指标层数据包括行业维度、客户维度、产品维度和交易维度指标。顶层应用层包括碳排放统计和监测、气候风险压力测试等。同时，将气候风险纳入智能化风控体系，为气候风险的全流程管理提供系统化支持。</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四是参考国际经验构建气候风险压力测试体系。包括物理风险和转型风险压力测试，对金融企业来说需要做到企业层面，因为整体行业不会全部违约，而是某个企业违约，所以要弄清企业层面的转型路径影响以及财务影响。</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五是将气候因素纳入内部评级体系。随着气候风险和“双碳”工作的开展，工商银行增强气候风险防控体系研究，开展对国内外气候评级模型、数据的调研，逐步将气候风险和碳因素纳入内部评级体系。</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六是不断完善气候风险信息披露体系。形成了以绿色金融专题报告、社会责任报告（ESG报告）、绿色债券年度报告为主体的信息披露体系。积极参与TCFD国际规则制定，促使TCFD披露建议更加适宜中国国情。</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b/>
          <w:bCs/>
          <w:lang w:val="en-US" w:eastAsia="zh-CN"/>
        </w:rPr>
      </w:pPr>
      <w:r>
        <w:rPr>
          <w:rFonts w:hint="eastAsia"/>
          <w:b/>
          <w:bCs/>
          <w:lang w:val="en-US" w:eastAsia="zh-CN"/>
        </w:rPr>
        <w:t>参考文献</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饶淑玲,陈迎.我国金融业应对气候变化的主要障碍及对策研究[J].南方金融,2020(07):13-22.</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王信.绿色金融发展和气候风险管理[J].金融经济,2021(07):3-9.DOI:10.14057/j.cnki.cn43-1156/f.2021.07.009.</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eastAsia"/>
          <w:lang w:val="en-US" w:eastAsia="zh-CN"/>
        </w:rPr>
      </w:pPr>
      <w:r>
        <w:rPr>
          <w:rFonts w:hint="eastAsia"/>
          <w:lang w:val="en-US" w:eastAsia="zh-CN"/>
        </w:rPr>
        <w:t>刘桂平.新金融评论.金融机构要将气候风险纳入全面风险管理体系.2022</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王文蔚.中央银行应对气候变化的金融政策分析.2021</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刘瑞霞.中国金融.气候风险信息披露的全球时间.2022</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日经中文网.全球企业气候风险信息披露将迎来国际标准</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奥纬咨询.气候变化---金融服务业的三大要务</w:t>
      </w:r>
    </w:p>
    <w:p>
      <w:pPr>
        <w:keepNext w:val="0"/>
        <w:keepLines w:val="0"/>
        <w:pageBreakBefore w:val="0"/>
        <w:widowControl w:val="0"/>
        <w:numPr>
          <w:ilvl w:val="0"/>
          <w:numId w:val="4"/>
        </w:numPr>
        <w:kinsoku/>
        <w:wordWrap/>
        <w:overflowPunct/>
        <w:topLinePunct w:val="0"/>
        <w:autoSpaceDE/>
        <w:autoSpaceDN/>
        <w:bidi w:val="0"/>
        <w:adjustRightInd/>
        <w:snapToGrid/>
        <w:jc w:val="both"/>
        <w:textAlignment w:val="auto"/>
        <w:rPr>
          <w:rFonts w:hint="default"/>
          <w:lang w:val="en-US" w:eastAsia="zh-CN"/>
        </w:rPr>
      </w:pPr>
      <w:r>
        <w:rPr>
          <w:rFonts w:hint="eastAsia"/>
          <w:lang w:val="en-US" w:eastAsia="zh-CN"/>
        </w:rPr>
        <w:t>毕马威.气候风险管理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1"/>
    <w:family w:val="roman"/>
    <w:pitch w:val="default"/>
    <w:sig w:usb0="00000287" w:usb1="00000000" w:usb2="00000000" w:usb3="00000000" w:csb0="2000009F" w:csb1="DFD70000"/>
  </w:font>
  <w:font w:name="Tahoma">
    <w:panose1 w:val="020B0604030504040204"/>
    <w:charset w:val="01"/>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8F37F"/>
    <w:multiLevelType w:val="singleLevel"/>
    <w:tmpl w:val="9688F37F"/>
    <w:lvl w:ilvl="0" w:tentative="0">
      <w:start w:val="1"/>
      <w:numFmt w:val="chineseCounting"/>
      <w:suff w:val="nothing"/>
      <w:lvlText w:val="%1、"/>
      <w:lvlJc w:val="left"/>
      <w:rPr>
        <w:rFonts w:hint="eastAsia"/>
      </w:rPr>
    </w:lvl>
  </w:abstractNum>
  <w:abstractNum w:abstractNumId="1">
    <w:nsid w:val="9C166BEF"/>
    <w:multiLevelType w:val="singleLevel"/>
    <w:tmpl w:val="9C166BEF"/>
    <w:lvl w:ilvl="0" w:tentative="0">
      <w:start w:val="1"/>
      <w:numFmt w:val="decimal"/>
      <w:lvlText w:val="[%1]"/>
      <w:lvlJc w:val="left"/>
      <w:pPr>
        <w:tabs>
          <w:tab w:val="left" w:pos="312"/>
        </w:tabs>
      </w:pPr>
    </w:lvl>
  </w:abstractNum>
  <w:abstractNum w:abstractNumId="2">
    <w:nsid w:val="6A114140"/>
    <w:multiLevelType w:val="singleLevel"/>
    <w:tmpl w:val="6A114140"/>
    <w:lvl w:ilvl="0" w:tentative="0">
      <w:start w:val="1"/>
      <w:numFmt w:val="decimal"/>
      <w:lvlText w:val="%1."/>
      <w:lvlJc w:val="left"/>
      <w:pPr>
        <w:tabs>
          <w:tab w:val="left" w:pos="312"/>
        </w:tabs>
      </w:pPr>
    </w:lvl>
  </w:abstractNum>
  <w:abstractNum w:abstractNumId="3">
    <w:nsid w:val="781B94B6"/>
    <w:multiLevelType w:val="singleLevel"/>
    <w:tmpl w:val="781B94B6"/>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90519"/>
    <w:rsid w:val="05FE0636"/>
    <w:rsid w:val="0DC463D3"/>
    <w:rsid w:val="0DE77743"/>
    <w:rsid w:val="0EAF6971"/>
    <w:rsid w:val="12EB22CC"/>
    <w:rsid w:val="130D2DA4"/>
    <w:rsid w:val="1B0A0DC6"/>
    <w:rsid w:val="1CDF6673"/>
    <w:rsid w:val="1E7C51ED"/>
    <w:rsid w:val="26282E39"/>
    <w:rsid w:val="286A598B"/>
    <w:rsid w:val="33E34843"/>
    <w:rsid w:val="34A54E7C"/>
    <w:rsid w:val="3A7200A1"/>
    <w:rsid w:val="46671304"/>
    <w:rsid w:val="478D6D55"/>
    <w:rsid w:val="47A9256D"/>
    <w:rsid w:val="50D90519"/>
    <w:rsid w:val="53774DCF"/>
    <w:rsid w:val="551E2D74"/>
    <w:rsid w:val="67D40C83"/>
    <w:rsid w:val="6AF21437"/>
    <w:rsid w:val="6EE9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公式"/>
    <w:qFormat/>
    <w:uiPriority w:val="0"/>
    <w:pPr>
      <w:tabs>
        <w:tab w:val="center" w:pos="1680"/>
      </w:tabs>
    </w:pPr>
    <w:rPr>
      <w:rFonts w:asciiTheme="minorAscii" w:hAnsiTheme="minorAscii" w:eastAsiaTheme="minorEastAsia"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5690</Words>
  <Characters>5892</Characters>
  <Lines>0</Lines>
  <Paragraphs>0</Paragraphs>
  <TotalTime>2</TotalTime>
  <ScaleCrop>false</ScaleCrop>
  <LinksUpToDate>false</LinksUpToDate>
  <CharactersWithSpaces>5945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2022-03-16T02:04:00Z</dcterms:created>
  <dc:creator>前朝</dc:creator>
  <cp:lastModifiedBy>前朝</cp:lastModifiedBy>
  <dcterms:modified xsi:type="dcterms:W3CDTF">2022-03-21T14:18:50Z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7F73397E8E094420A43296FB7AA6CDF1</vt:lpwstr>
  </property>
</Properties>
</file>