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lang w:val="en-US" w:eastAsia="zh-Hans"/>
        </w:rPr>
      </w:pPr>
      <w:r>
        <w:rPr>
          <w:rFonts w:hint="eastAsia" w:asciiTheme="minorEastAsia" w:hAnsiTheme="minorEastAsia" w:eastAsiaTheme="minorEastAsia" w:cstheme="minorEastAsia"/>
          <w:b/>
          <w:bCs/>
          <w:sz w:val="24"/>
          <w:szCs w:val="24"/>
          <w:lang w:val="en-US" w:eastAsia="zh-Hans"/>
        </w:rPr>
        <w:t>第</w:t>
      </w:r>
      <w:r>
        <w:rPr>
          <w:rFonts w:hint="eastAsia" w:asciiTheme="minorEastAsia" w:hAnsiTheme="minorEastAsia" w:eastAsiaTheme="minorEastAsia" w:cstheme="minorEastAsia"/>
          <w:b/>
          <w:bCs/>
          <w:sz w:val="24"/>
          <w:szCs w:val="24"/>
          <w:lang w:eastAsia="zh-Hans"/>
        </w:rPr>
        <w:t>6</w:t>
      </w:r>
      <w:r>
        <w:rPr>
          <w:rFonts w:hint="eastAsia" w:asciiTheme="minorEastAsia" w:hAnsiTheme="minorEastAsia" w:eastAsiaTheme="minorEastAsia" w:cstheme="minorEastAsia"/>
          <w:b/>
          <w:bCs/>
          <w:sz w:val="24"/>
          <w:szCs w:val="24"/>
          <w:lang w:val="en-US" w:eastAsia="zh-Hans"/>
        </w:rPr>
        <w:t>组（气候风险及监管）的讨论总回应</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lang w:val="en-US" w:eastAsia="zh-Hans"/>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其他小组的提问主要集中于以下几个方面，本组选取了重要提问并进行了补充：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t>物理风险对保险、银行、央行等金融机构的影响以及如何平衡保险、银行等应对气候风险的压力</w:t>
      </w: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【对保险业影响】 中国保险业发展水平与西方国家相比，存在较大差异，气候变化造成金融风险的机理也有所不同。中国保险覆盖率低，险种结构不平衡，气候相关风险理赔损失较小。与欧美发达国家相比，中国保险密度与保险深度较低。发达国家人身险与财产险结构相对均衡，而中国险种结构整体失衡，财产险比重较低。中国人身险业务仍以传统寿险为主，长期储蓄作用强，意外伤害险和健康险等与长期气候变化相关的险种，整体规模不大。保险公司投资组合的气候风险敏感性低，气候相关风险对中国保险业的直接负面冲击可控。</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【对银行业影响】 此外，中国气候相关风险可能更多由银行等非保险金融机构承担，加剧风险向银行业集中；灾后财政救助支出最终可能形成显性或隐性的各级政府债务，加剧地方债务，最终转化为金融风险；气候相关风险保障缺口大，可能引发次生经济风险，气候风险的间接冲击可能较大。中国气候相关风险可能更多由银行等非保险金融机构承担，实际上加剧风险向银行业集中。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【对央行影响】 气候变化能够影响产品的供给和需求，进而影响到央行货币政策的核心目标一一价格稳定。比如，洪水、旱灾、火灾、台风等气候事件必然降低产出，这会提高产品价格；另一方面灾害带来的巨大损失又会降低人们的消费水平，带来需求被动下降。另外，气候变化会影响人们的消费行为和消费习惯，减少对破坏环境和气候产品的需求，进而影响到这些产品的价格。比如人们对煤炭等环境破坏性较强的能源生产行业的抵制会影响到能源供给和消费模式，进而影响能源价格。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【采取措施】 我国的保险市场需要借鉴发达经济体保险市场经验，逐渐增加投保项目，扩大投保规模，平衡银行业、保险业以及政府等在面临气候风险时的压力，具体可以考虑以下几种措施。 第一，积极发展保险业，提高覆盖面和渗透率，充分发挥保险业的风险分担和风险管理作用保险业应变“被动理赔”为“主动管理”，不仅要通过业务发展逐步提高气候灾害损失赔付比率，降低极端气候事件和自然灾害对经济金融的冲击，还应创新低碳转型相关保险产品。 第二，借鉴国际经验，完善保险业在标准、核算、信息披露、压力测试等方面的制度框架与技术手段尽管中国保险业在发展阶段、受气候相关风险直接冲击程度等方面与发达国家存在诸多差异，但同样肩负着恰当管理并有效防范气候相关风险的使命，保险业应对这一风险的能力建设尤为重要。欧美国家在风险数据库构建、气候信息披露、巨灾模型开发等底层风险管理技术方面，已有较多成熟经验，可供中国保险业借鉴。 第三，逐步建立政策性巨灾保险和商业保险相结合的多层次气候巨灾风险管理体系。加大力度支持商业保险机构参与养老体制改革，鼓励保险机构坚持中长期布局，开展可持续投资。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t xml:space="preserve">转型风险给我国绿色金融发展带来的机遇？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【存在哪些机遇】 气候变化影响着社会经济的发展，在政府政策、环保法律法规、科技进步、人们生活消费观念转变等因素的综合作用下，人类社会生产和消费活动向低碳经济模式加速转型。对于我国来说，转型风险给我国绿色金融发展带来的机遇具体表现为：绿色金融，低碳转型，相辅相成。近年来，绿色转型已成为中国发展的新理念，这也助推了中国绿色金融的蓬勃发展。有数据表明，中国在ESG投资领域已有很快的发展。2020年中国ESG主题相关公募基金已经超过127只，资金规模超过1200亿元，比2015年翻了一倍。未来随着绿色金融架构进一步完善，中国金融机构可通过绿色信贷、绿色债券、ESG投资基金等一系列金融产品，合理配置市场资源，为绿色经济转型提供金融支持。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【发展绿色金融】 一要完善绿色金融政策体系。健全绿色金融监管政策框架，完善统计监测和考核评价体系。优化市场准入，建立激励约束机制，积极支持创新业务模式。将绿色转型进展纳入对银行保险机构的日常监管评价。制定绿色金融信息披露标准，为银行保险机构加强气候和环境风险管理提供指导。 二要鼓励金融机构创新产品服务。银行保险机构要加大对可再生能源、绿色制造、绿色建筑、绿色交通等领域的金融支持，推动绿色低碳技术研发应用。发挥碳减排支持工具和支持煤炭清洁高效利用专项再贷款作用，支持科学有序降碳。探索气候债券、绿色信贷资产证券化等创新产品。发展排污权、碳排放权等抵质押融资业务。丰富绿色保险产品，发挥保险费率调节机制作用，提升对绿色经济活动的风险保障能力。 三要强化金融机构风险管理功能。银行保险机构在提供金融服务时要严把新上项目的碳排放关，完善客户授信管理和项目保险做法，将碳表现、碳定价纳入授信管理流程。协同推进绿色转型和数字化转型，运用金融科技手段提升对气候和环境风险的管理能力。探索开展情景分析和压力测试，评估相关风险敞口，有针对性地做好应急预案。 四要注重推进双循环的国际合作。在新发展格局下，金融部门既要注重国内发展，又要关注《联合国气候变化框架公约》及《巴黎协定》框架下，实时加强绿色金融的国际交流合作，在国际规则制定中发挥积极作用，讲好中国故事。将“一带一路”作为实现绿色发展国际合作的重要平台，开放包容、互学互鉴，积极探索金融支持碳达峰碳中和的有效模式和路径。</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t xml:space="preserve">气候压力测试相关问题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【气候压力测试的障碍与不足】 压力测试模型在实际应用中仍然存在诸多障碍，这些障碍包括缺乏对气候与环境风险及其相关性的认识，环境和气候因素及相关损失数据不足，气候与环境风险评估方法开发能力有限，评估方法及数据质量存在局限性等。 此外，气候和环境相关风险对整个社会和经济系统的影响是十分复杂的，在对未来进行情景假设以及气候风险传导建模的过程中，以当下的认知可能仍然难以完全刻画出这种系统性的变化，未来技术革新的可能也难以预测。受制于这些局限性，金融机构在进行情景分析和压力测试时，即使在相同的假设前提下，如果选择了不同的模型、参数、数据来源，也可能会得到迥然不同的量化测试结果。模型是更为复杂现实的一种简化，是一种可以帮助我们理解复杂问题的工具，人们仍然需要面对这些巨大的不确定性做出反应，而金融机构积极探索开展气候化环境风险情景分析和压力测试，能够促进相关风险建模方法的不断优化、相关数据质量的不断提升，使其能够真正为金融机构业务的长期可持续发展提供前瞻性、实质性的指导。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【常用指标】 常用的压力测试指标可以分为技术型指标和管理型指标两大类。技术型指标是一些表现风险损失量的指标，包括违约率，损失率，预期损失，非预期损失，风险暴露等，这些指标与包括商业银行的金融机构的日常运作息息相关；管理型指标则包括了资本充足率，不良贷款率，经济资本，利润率等指标，通常是监管机构和政府关注的重点。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t xml:space="preserve">如何看待发展中国家应对气候风险？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从历史发展角度来看，落后国家不是温室气体的主要排放者，而是气候变暖的受害者。从工业革命以来积累在大气中的二氧化碳主要来自于现在说的工业化国家和富裕国家。现在不让发展中国家排放，等于停止发展。发展中国家应当在发展经济的同时，在力所能及的范围内兼顾气候风险带来的影响。</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发展中国家和发达国家应对气候风险有共同的责任，但是发展的权利有所不同，主要原因有三：第一，历史碳排放的差别；第二，当前全球化条件下各国经济结构的差别；第三，各国财务、技术能力的差别。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世界上的有识之士也都是承认的，承认发达国家应该率先减排。因此，1997年有了《京都议定书》，里面区分了发达国家和发展中国家。它有两个附表，一个附表是发达国家，一个附表是发展中国家。发达国家承担有约束力的减排责任，比如到2012年，这些发达国家基本实现了各自的目标，在那个阶段他们就实现了碳达峰，现在他们提出的目标就是碳中和问题了。中国、印度等等都属于发展中国家，希望大家努力减排，但是不设定有约束力的目标，自愿减排。同时也制订了方法要求，发达国家在这个问题上对发展中国家进行援助。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发展中国家制定绿色金融标准，要立足本国国情，国际标准可以作为参考，就拿我国来说，我国应与中国人民银行、国家发展改革委等部门联合攻关，以碳达峰为第一阶段标准、以碳中和为第二阶段标准，在保证新标准不过度影响其他可持续发展目标的前提下，以这两阶段的“双碳”标准为约束条件，制定我国统一的两阶段绿色金融标准。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t xml:space="preserve">在双碳目标的要求下，我国绿色金融还存在哪些问题？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目前的绿色金融标准体系与碳中和目标不完全匹配。比如，虽然人民银行主持的新版《绿色债券项目支持目录》（征求意见稿）中已经剔除“清洁煤炭技术”等化石能源相关的高碳项目，但其它绿色金融的界定标准（包括绿色信贷标准、绿色产业目录）等还没有做相应的调整。目前在这些标准中“绿色”不完全符合碳中和对净零碳排放的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环境信息披露的水平尚未充分反映碳中和的要求。企业和金融机构开展充分的环境信息披露是金融体系引导资金投向绿色产业的重要基础。被投企业和项目的碳排放信息披露则是低碳投资决策的重要基础。但是，我国目前对大部分企业尚未强制要求披露碳排放和碳足迹信息，对金融机构也缺乏环境和气候披露的要求。多数机构也缺乏采集、计算和评估碳排放和碳足迹信息的内部能力。</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绿色金融激励机制尚未充分体现对低碳发展的足够重视。中央金融监管部门的一些政策，以及一些地方政府对绿色项目的贴息、担保等机制在一定程度上调动了社会资本参与绿色投资的积极性，但激励的力度和覆盖范围仍然不足，对绿色项目中的低碳、零碳投资缺乏特殊的激励。</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对气候转型风险认知不够。一些国际组织和合作机制已经开始强调金融业开展环境和气候风险分析的重要性。但是，我国的多数金融机构尚未充分理解气候转型的相关风险，也未建立识别、分析和管理此类风险的机制。在对这个问题的认识和内部能力上，我国许多金融机构与欧洲和英国的领先机构相比还有较大的差距。</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 xml:space="preserve">绿色金融产品还不完全适应碳中和的需要。我国在绿色信贷、绿色债券等产品方面已经取得了长足的进展，但在面向投资者提供的ESG产品，以及产品的多样化和流动性方面比发达市场还有较大的差距，许多绿色金融产品还没有与碳足迹挂钩，碳市场和碳金融产品在配置金融资源中的作用还十分有限，碳市场的对外开放度还很低。 </w:t>
      </w:r>
    </w:p>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pPr>
      <w:bookmarkStart w:id="0" w:name="_GoBack"/>
      <w:r>
        <w:rPr>
          <w:rFonts w:hint="eastAsia" w:asciiTheme="minorEastAsia" w:hAnsiTheme="minorEastAsia" w:eastAsiaTheme="minorEastAsia" w:cstheme="minorEastAsia"/>
          <w:b/>
          <w:bCs/>
          <w:i w:val="0"/>
          <w:iCs w:val="0"/>
          <w:caps w:val="0"/>
          <w:spacing w:val="0"/>
          <w:kern w:val="0"/>
          <w:sz w:val="24"/>
          <w:szCs w:val="24"/>
          <w:u w:val="none"/>
          <w:shd w:val="clear" w:fill="FFFFFF"/>
          <w:lang w:val="en-US" w:eastAsia="zh-CN" w:bidi="ar"/>
        </w:rPr>
        <w:t xml:space="preserve">新兴市场对气候风险做出的反应 </w:t>
      </w:r>
    </w:p>
    <w:bookmarkEnd w:id="0"/>
    <w:p>
      <w:pPr>
        <w:keepNext w:val="0"/>
        <w:keepLines w:val="0"/>
        <w:pageBreakBefore w:val="0"/>
        <w:widowControl/>
        <w:numPr>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0"/>
          <w:sz w:val="24"/>
          <w:szCs w:val="24"/>
          <w:u w:val="none"/>
          <w:shd w:val="clear" w:fill="FFFFFF"/>
          <w:lang w:val="en-US" w:eastAsia="zh-CN" w:bidi="ar"/>
        </w:rPr>
        <w:t>环境气候风险是系统性金融风险的重要来源，绿色转型将对金融带来极大的影响。 新兴市场中，一部分新兴国家已经提高了对绿色转型的重视程度，并采取了新的政策，增加了公共和私人部门在减缓和适应气候变化方面的投资。例如，中国的发展计划提出了精确的政策来刺激战略性绿色产业的增长，并限制国内煤炭的增长。同样，印度也强调了长期可持续性的关键需要，以及它对新的清洁技术的愿景，这些新技术将带来经济增长和气候缓解。在巴西，国家议会下院也下达批准了一项旨在鼓励天然气生产和分销的新法律，并将其提交参议院批准。 在2021年8月31日MSCI发布了最新的新兴市场气候变化指数（MSCI Emerging Markets Climate Change Index (USD)）。MSCI新兴市场气候变化指数是以其母指数MSCI新兴市场指数为基础的。该指数旨在代表一种投资策略的表现，这种投资策略基于向低碳经济转型相关的机会和风险，对证券重新加权。 新兴市场气候变化指数系列根据MSCI对新兴市场中企业的低碳转型评分，重新计算成分股权重。MSCI低碳转型评分针对企业与低碳转型相关的经济风险与机遇进行连贯一致的衡量。该指数可作为独立系列运用，也可以作为整体环境、社会和治理(ESG)策略的一部分共同用于参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8AF5D"/>
    <w:multiLevelType w:val="singleLevel"/>
    <w:tmpl w:val="DE78AF5D"/>
    <w:lvl w:ilvl="0" w:tentative="0">
      <w:start w:val="1"/>
      <w:numFmt w:val="decimal"/>
      <w:suff w:val="nothing"/>
      <w:lvlText w:val="%1、"/>
      <w:lvlJc w:val="left"/>
    </w:lvl>
  </w:abstractNum>
  <w:abstractNum w:abstractNumId="1">
    <w:nsid w:val="FFEFCF73"/>
    <w:multiLevelType w:val="singleLevel"/>
    <w:tmpl w:val="FFEFCF73"/>
    <w:lvl w:ilvl="0" w:tentative="0">
      <w:start w:val="1"/>
      <w:numFmt w:val="decimal"/>
      <w:suff w:val="nothing"/>
      <w:lvlText w:val="%1、"/>
      <w:lvlJc w:val="left"/>
    </w:lvl>
  </w:abstractNum>
  <w:abstractNum w:abstractNumId="2">
    <w:nsid w:val="FFF935C2"/>
    <w:multiLevelType w:val="singleLevel"/>
    <w:tmpl w:val="FFF935C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7B04EA"/>
    <w:rsid w:val="CF7B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2022-07-13T10:21:00Z</dcterms:created>
  <dc:creator>Olivia</dc:creator>
  <cp:lastModifiedBy>Olivia</cp:lastModifiedBy>
  <dcterms:modified xsi:type="dcterms:W3CDTF">2022-07-13T10:27:25Z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97C28307CEB53C3B3E2CCE62CC6C479F</vt:lpwstr>
  </property>
</Properties>
</file>